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4BB" w:rsidRPr="007134BB" w:rsidRDefault="000038ED">
      <w:pPr>
        <w:rPr>
          <w:rStyle w:val="Huisstijl-ReferentieGegevens"/>
          <w:noProof w:val="0"/>
        </w:rPr>
      </w:pPr>
      <w:bookmarkStart w:id="0" w:name="_GoBack"/>
      <w:bookmarkEnd w:id="0"/>
      <w:r>
        <w:rPr>
          <w:rStyle w:val="Huisstijl-ReferentieGegevens"/>
          <w:noProof w:val="0"/>
        </w:rPr>
        <w:t>Openbaar</w:t>
      </w:r>
    </w:p>
    <w:p w:rsidR="007134BB" w:rsidRDefault="007134BB">
      <w:pPr>
        <w:rPr>
          <w:lang w:val="en-US"/>
        </w:rPr>
      </w:pPr>
    </w:p>
    <w:tbl>
      <w:tblPr>
        <w:tblW w:w="9520" w:type="dxa"/>
        <w:tblLook w:val="01E0" w:firstRow="1" w:lastRow="1" w:firstColumn="1" w:lastColumn="1" w:noHBand="0" w:noVBand="0"/>
      </w:tblPr>
      <w:tblGrid>
        <w:gridCol w:w="2345"/>
        <w:gridCol w:w="7175"/>
      </w:tblGrid>
      <w:tr w:rsidR="000038ED" w:rsidTr="00482E86">
        <w:tc>
          <w:tcPr>
            <w:tcW w:w="2345" w:type="dxa"/>
            <w:shd w:val="clear" w:color="auto" w:fill="auto"/>
          </w:tcPr>
          <w:p w:rsidR="000038ED" w:rsidRDefault="000038ED" w:rsidP="00482E86">
            <w:r w:rsidRPr="001B0AA0">
              <w:t>Onderwerp</w:t>
            </w:r>
          </w:p>
        </w:tc>
        <w:tc>
          <w:tcPr>
            <w:tcW w:w="7175" w:type="dxa"/>
            <w:shd w:val="clear" w:color="auto" w:fill="auto"/>
          </w:tcPr>
          <w:p w:rsidR="000038ED" w:rsidRDefault="00FA156D" w:rsidP="008950A7">
            <w:r>
              <w:t xml:space="preserve">Versimpeling armoederegelingen en </w:t>
            </w:r>
            <w:r w:rsidR="000038ED">
              <w:t>Minimaeffectrapportage 201</w:t>
            </w:r>
            <w:r w:rsidR="008950A7">
              <w:t>8</w:t>
            </w:r>
            <w:r w:rsidR="000038ED">
              <w:t xml:space="preserve"> </w:t>
            </w:r>
          </w:p>
        </w:tc>
      </w:tr>
      <w:tr w:rsidR="000038ED" w:rsidTr="00482E86">
        <w:tc>
          <w:tcPr>
            <w:tcW w:w="2345" w:type="dxa"/>
            <w:shd w:val="clear" w:color="auto" w:fill="auto"/>
          </w:tcPr>
          <w:p w:rsidR="000038ED" w:rsidRDefault="000038ED" w:rsidP="00482E86">
            <w:r w:rsidRPr="001B0AA0">
              <w:t>Versienummer</w:t>
            </w:r>
          </w:p>
        </w:tc>
        <w:tc>
          <w:tcPr>
            <w:tcW w:w="7175" w:type="dxa"/>
            <w:shd w:val="clear" w:color="auto" w:fill="auto"/>
          </w:tcPr>
          <w:p w:rsidR="000038ED" w:rsidRDefault="000038ED" w:rsidP="000038ED"/>
        </w:tc>
      </w:tr>
      <w:tr w:rsidR="000038ED" w:rsidTr="00482E86">
        <w:tc>
          <w:tcPr>
            <w:tcW w:w="2345" w:type="dxa"/>
            <w:shd w:val="clear" w:color="auto" w:fill="auto"/>
          </w:tcPr>
          <w:p w:rsidR="000038ED" w:rsidRPr="001B0AA0" w:rsidRDefault="000038ED" w:rsidP="000038ED"/>
        </w:tc>
        <w:tc>
          <w:tcPr>
            <w:tcW w:w="7175" w:type="dxa"/>
            <w:shd w:val="clear" w:color="auto" w:fill="auto"/>
          </w:tcPr>
          <w:p w:rsidR="000038ED" w:rsidRDefault="000038ED" w:rsidP="000038ED"/>
        </w:tc>
      </w:tr>
      <w:tr w:rsidR="000038ED" w:rsidTr="00482E86">
        <w:tc>
          <w:tcPr>
            <w:tcW w:w="2345" w:type="dxa"/>
            <w:shd w:val="clear" w:color="auto" w:fill="auto"/>
          </w:tcPr>
          <w:p w:rsidR="000038ED" w:rsidRPr="001B0AA0" w:rsidRDefault="000038ED" w:rsidP="00482E86">
            <w:r w:rsidRPr="001B0AA0">
              <w:t>Portefeuillehouder</w:t>
            </w:r>
          </w:p>
        </w:tc>
        <w:tc>
          <w:tcPr>
            <w:tcW w:w="7175" w:type="dxa"/>
            <w:shd w:val="clear" w:color="auto" w:fill="auto"/>
          </w:tcPr>
          <w:p w:rsidR="000038ED" w:rsidRDefault="000038ED" w:rsidP="00482E86">
            <w:r>
              <w:t>K. Sloots</w:t>
            </w:r>
          </w:p>
        </w:tc>
      </w:tr>
      <w:tr w:rsidR="000038ED" w:rsidTr="00482E86">
        <w:tc>
          <w:tcPr>
            <w:tcW w:w="2345" w:type="dxa"/>
            <w:shd w:val="clear" w:color="auto" w:fill="auto"/>
          </w:tcPr>
          <w:p w:rsidR="000038ED" w:rsidRPr="001B0AA0" w:rsidRDefault="000038ED" w:rsidP="00482E86">
            <w:r>
              <w:t>Informant</w:t>
            </w:r>
          </w:p>
        </w:tc>
        <w:tc>
          <w:tcPr>
            <w:tcW w:w="7175" w:type="dxa"/>
            <w:shd w:val="clear" w:color="auto" w:fill="auto"/>
          </w:tcPr>
          <w:p w:rsidR="000038ED" w:rsidRDefault="000038ED" w:rsidP="00482E86">
            <w:r>
              <w:t>Astrid Dekker</w:t>
            </w:r>
          </w:p>
        </w:tc>
      </w:tr>
      <w:tr w:rsidR="000038ED" w:rsidTr="00482E86">
        <w:tc>
          <w:tcPr>
            <w:tcW w:w="2345" w:type="dxa"/>
            <w:shd w:val="clear" w:color="auto" w:fill="auto"/>
          </w:tcPr>
          <w:p w:rsidR="000038ED" w:rsidRDefault="000038ED" w:rsidP="00482E86">
            <w:r>
              <w:t>Afdeling</w:t>
            </w:r>
          </w:p>
        </w:tc>
        <w:tc>
          <w:tcPr>
            <w:tcW w:w="7175" w:type="dxa"/>
            <w:shd w:val="clear" w:color="auto" w:fill="auto"/>
          </w:tcPr>
          <w:p w:rsidR="000038ED" w:rsidRDefault="000038ED" w:rsidP="00482E86">
            <w:r>
              <w:t>Maatschappelijke Ontwikkeling</w:t>
            </w:r>
          </w:p>
        </w:tc>
      </w:tr>
      <w:tr w:rsidR="000038ED" w:rsidTr="00482E86">
        <w:tc>
          <w:tcPr>
            <w:tcW w:w="2345" w:type="dxa"/>
            <w:shd w:val="clear" w:color="auto" w:fill="auto"/>
          </w:tcPr>
          <w:p w:rsidR="000038ED" w:rsidRDefault="000038ED" w:rsidP="00482E86">
            <w:r>
              <w:t>Telefoon</w:t>
            </w:r>
          </w:p>
        </w:tc>
        <w:tc>
          <w:tcPr>
            <w:tcW w:w="7175" w:type="dxa"/>
            <w:shd w:val="clear" w:color="auto" w:fill="auto"/>
          </w:tcPr>
          <w:p w:rsidR="000038ED" w:rsidRDefault="000038ED" w:rsidP="00482E86">
            <w:r w:rsidRPr="00482E86">
              <w:rPr>
                <w:rFonts w:cs="Arial"/>
                <w:color w:val="000000"/>
              </w:rPr>
              <w:t>(038) 498 3268</w:t>
            </w:r>
          </w:p>
        </w:tc>
      </w:tr>
      <w:tr w:rsidR="000038ED" w:rsidTr="00482E86">
        <w:tc>
          <w:tcPr>
            <w:tcW w:w="2345" w:type="dxa"/>
            <w:shd w:val="clear" w:color="auto" w:fill="auto"/>
          </w:tcPr>
          <w:p w:rsidR="000038ED" w:rsidRDefault="000038ED" w:rsidP="00482E86">
            <w:r>
              <w:t>Email</w:t>
            </w:r>
          </w:p>
        </w:tc>
        <w:tc>
          <w:tcPr>
            <w:tcW w:w="7175" w:type="dxa"/>
            <w:shd w:val="clear" w:color="auto" w:fill="auto"/>
          </w:tcPr>
          <w:p w:rsidR="000038ED" w:rsidRPr="00482E86" w:rsidRDefault="000038ED" w:rsidP="00482E86">
            <w:pPr>
              <w:rPr>
                <w:rFonts w:cs="Arial"/>
                <w:color w:val="000000"/>
              </w:rPr>
            </w:pPr>
            <w:r w:rsidRPr="00482E86">
              <w:rPr>
                <w:rFonts w:cs="Arial"/>
                <w:color w:val="000000"/>
              </w:rPr>
              <w:t>A.M.Dekker@zwolle.nl</w:t>
            </w:r>
          </w:p>
        </w:tc>
      </w:tr>
    </w:tbl>
    <w:p w:rsidR="000038ED" w:rsidRDefault="000038ED" w:rsidP="000038ED"/>
    <w:p w:rsidR="000038ED" w:rsidRPr="00C153B5" w:rsidRDefault="000038ED" w:rsidP="000038ED">
      <w:pPr>
        <w:rPr>
          <w:b/>
        </w:rPr>
      </w:pPr>
      <w:r w:rsidRPr="00C153B5">
        <w:rPr>
          <w:b/>
        </w:rPr>
        <w:t xml:space="preserve">Financiële </w:t>
      </w:r>
      <w:r>
        <w:rPr>
          <w:b/>
        </w:rPr>
        <w:t>gevolgen</w:t>
      </w:r>
    </w:p>
    <w:tbl>
      <w:tblPr>
        <w:tblW w:w="9520" w:type="dxa"/>
        <w:tblLook w:val="01E0" w:firstRow="1" w:lastRow="1" w:firstColumn="1" w:lastColumn="1" w:noHBand="0" w:noVBand="0"/>
      </w:tblPr>
      <w:tblGrid>
        <w:gridCol w:w="2345"/>
        <w:gridCol w:w="7175"/>
      </w:tblGrid>
      <w:tr w:rsidR="000038ED" w:rsidTr="00482E86">
        <w:tc>
          <w:tcPr>
            <w:tcW w:w="2345" w:type="dxa"/>
            <w:shd w:val="clear" w:color="auto" w:fill="auto"/>
          </w:tcPr>
          <w:p w:rsidR="000038ED" w:rsidRPr="00482E86" w:rsidRDefault="000038ED" w:rsidP="00482E86">
            <w:pPr>
              <w:rPr>
                <w:szCs w:val="22"/>
              </w:rPr>
            </w:pPr>
            <w:r w:rsidRPr="00482E86">
              <w:rPr>
                <w:szCs w:val="22"/>
              </w:rPr>
              <w:t>Betreft doel</w:t>
            </w:r>
          </w:p>
        </w:tc>
        <w:tc>
          <w:tcPr>
            <w:tcW w:w="7175" w:type="dxa"/>
            <w:shd w:val="clear" w:color="auto" w:fill="auto"/>
          </w:tcPr>
          <w:p w:rsidR="000038ED" w:rsidRPr="00482E86" w:rsidRDefault="000038ED" w:rsidP="00482E86">
            <w:pPr>
              <w:rPr>
                <w:rFonts w:cs="Arial"/>
                <w:color w:val="000000"/>
              </w:rPr>
            </w:pPr>
            <w:r w:rsidRPr="00482E86">
              <w:rPr>
                <w:rFonts w:cs="Arial"/>
                <w:color w:val="000000"/>
              </w:rPr>
              <w:t>4.1 en 4.2</w:t>
            </w:r>
          </w:p>
        </w:tc>
      </w:tr>
      <w:tr w:rsidR="000038ED" w:rsidTr="00482E86">
        <w:tc>
          <w:tcPr>
            <w:tcW w:w="2345" w:type="dxa"/>
            <w:shd w:val="clear" w:color="auto" w:fill="auto"/>
          </w:tcPr>
          <w:p w:rsidR="000038ED" w:rsidRDefault="000038ED" w:rsidP="00482E86">
            <w:r w:rsidRPr="00482E86">
              <w:rPr>
                <w:szCs w:val="22"/>
              </w:rPr>
              <w:t>Begroting wijzigen</w:t>
            </w:r>
          </w:p>
        </w:tc>
        <w:tc>
          <w:tcPr>
            <w:tcW w:w="7175" w:type="dxa"/>
            <w:shd w:val="clear" w:color="auto" w:fill="auto"/>
          </w:tcPr>
          <w:p w:rsidR="000038ED" w:rsidRPr="00482E86" w:rsidRDefault="00444C49" w:rsidP="00482E86">
            <w:pPr>
              <w:rPr>
                <w:rFonts w:cs="Arial"/>
                <w:color w:val="000000"/>
              </w:rPr>
            </w:pPr>
            <w:r>
              <w:rPr>
                <w:rFonts w:cs="Arial"/>
                <w:color w:val="000000"/>
              </w:rPr>
              <w:t xml:space="preserve">Nog invullen </w:t>
            </w:r>
          </w:p>
        </w:tc>
      </w:tr>
      <w:tr w:rsidR="000038ED" w:rsidTr="00482E86">
        <w:tc>
          <w:tcPr>
            <w:tcW w:w="2345" w:type="dxa"/>
            <w:shd w:val="clear" w:color="auto" w:fill="auto"/>
          </w:tcPr>
          <w:p w:rsidR="000038ED" w:rsidRPr="00482E86" w:rsidRDefault="000038ED" w:rsidP="00482E86">
            <w:pPr>
              <w:rPr>
                <w:szCs w:val="22"/>
              </w:rPr>
            </w:pPr>
            <w:r w:rsidRPr="00482E86">
              <w:rPr>
                <w:szCs w:val="22"/>
              </w:rPr>
              <w:t>Dekking ten laste van</w:t>
            </w:r>
          </w:p>
        </w:tc>
        <w:tc>
          <w:tcPr>
            <w:tcW w:w="7175" w:type="dxa"/>
            <w:shd w:val="clear" w:color="auto" w:fill="auto"/>
          </w:tcPr>
          <w:p w:rsidR="000038ED" w:rsidRPr="00482E86" w:rsidRDefault="00FA156D" w:rsidP="000038ED">
            <w:pPr>
              <w:rPr>
                <w:rFonts w:cs="Arial"/>
                <w:color w:val="000000"/>
              </w:rPr>
            </w:pPr>
            <w:r>
              <w:rPr>
                <w:rFonts w:cs="Arial"/>
                <w:color w:val="000000"/>
              </w:rPr>
              <w:t>N.v.t.</w:t>
            </w:r>
          </w:p>
        </w:tc>
      </w:tr>
    </w:tbl>
    <w:p w:rsidR="000038ED" w:rsidRDefault="000038ED" w:rsidP="000038ED"/>
    <w:tbl>
      <w:tblPr>
        <w:tblW w:w="9520" w:type="dxa"/>
        <w:tblLook w:val="01E0" w:firstRow="1" w:lastRow="1" w:firstColumn="1" w:lastColumn="1" w:noHBand="0" w:noVBand="0"/>
      </w:tblPr>
      <w:tblGrid>
        <w:gridCol w:w="6345"/>
        <w:gridCol w:w="3175"/>
      </w:tblGrid>
      <w:tr w:rsidR="00E118EA" w:rsidTr="00D333C4">
        <w:tc>
          <w:tcPr>
            <w:tcW w:w="6345" w:type="dxa"/>
            <w:shd w:val="clear" w:color="auto" w:fill="auto"/>
          </w:tcPr>
          <w:p w:rsidR="000038ED" w:rsidRDefault="000038ED" w:rsidP="00482E86">
            <w:r>
              <w:t>Bijlagen</w:t>
            </w:r>
            <w:r w:rsidR="0002789F">
              <w:t xml:space="preserve"> (volgen later) </w:t>
            </w:r>
          </w:p>
          <w:p w:rsidR="00E118EA" w:rsidRDefault="00E118EA" w:rsidP="00482E86">
            <w:pPr>
              <w:numPr>
                <w:ilvl w:val="0"/>
                <w:numId w:val="46"/>
              </w:numPr>
            </w:pPr>
            <w:r>
              <w:t>Minimaeffectrapportage</w:t>
            </w:r>
            <w:r w:rsidR="002469D8">
              <w:t xml:space="preserve"> 2018</w:t>
            </w:r>
          </w:p>
          <w:p w:rsidR="00E118EA" w:rsidRDefault="00E118EA" w:rsidP="00482E86">
            <w:pPr>
              <w:numPr>
                <w:ilvl w:val="0"/>
                <w:numId w:val="46"/>
              </w:numPr>
            </w:pPr>
            <w:r>
              <w:t xml:space="preserve">Verordening Scholierenregeling </w:t>
            </w:r>
          </w:p>
          <w:p w:rsidR="0073792A" w:rsidRDefault="008C6A35" w:rsidP="0073792A">
            <w:pPr>
              <w:numPr>
                <w:ilvl w:val="0"/>
                <w:numId w:val="46"/>
              </w:numPr>
            </w:pPr>
            <w:r>
              <w:t>Individuele inkomenstoeslag</w:t>
            </w:r>
          </w:p>
          <w:p w:rsidR="0073792A" w:rsidRDefault="0073792A" w:rsidP="0073792A">
            <w:pPr>
              <w:numPr>
                <w:ilvl w:val="0"/>
                <w:numId w:val="46"/>
              </w:numPr>
            </w:pPr>
            <w:r>
              <w:t xml:space="preserve">Verordening </w:t>
            </w:r>
            <w:r w:rsidR="00FA156D">
              <w:t>WMO</w:t>
            </w:r>
          </w:p>
          <w:p w:rsidR="00E118EA" w:rsidRDefault="00E118EA" w:rsidP="00482E86">
            <w:pPr>
              <w:numPr>
                <w:ilvl w:val="0"/>
                <w:numId w:val="46"/>
              </w:numPr>
            </w:pPr>
            <w:r>
              <w:t>Verordening participatieregeling</w:t>
            </w:r>
          </w:p>
          <w:p w:rsidR="00E118EA" w:rsidRDefault="00516CC3" w:rsidP="00482E86">
            <w:pPr>
              <w:numPr>
                <w:ilvl w:val="0"/>
                <w:numId w:val="46"/>
              </w:numPr>
            </w:pPr>
            <w:r>
              <w:t>Advies participatieraad</w:t>
            </w:r>
          </w:p>
          <w:p w:rsidR="00516CC3" w:rsidRDefault="00516CC3" w:rsidP="00482E86">
            <w:pPr>
              <w:numPr>
                <w:ilvl w:val="0"/>
                <w:numId w:val="46"/>
              </w:numPr>
            </w:pPr>
            <w:r>
              <w:t>Reactie college op advies Participatieraad</w:t>
            </w:r>
          </w:p>
        </w:tc>
        <w:tc>
          <w:tcPr>
            <w:tcW w:w="3175" w:type="dxa"/>
            <w:shd w:val="clear" w:color="auto" w:fill="auto"/>
          </w:tcPr>
          <w:p w:rsidR="000038ED" w:rsidRPr="00482E86" w:rsidRDefault="000038ED" w:rsidP="000038ED">
            <w:pPr>
              <w:rPr>
                <w:rFonts w:cs="Arial"/>
                <w:color w:val="000000"/>
              </w:rPr>
            </w:pPr>
          </w:p>
        </w:tc>
      </w:tr>
    </w:tbl>
    <w:p w:rsidR="000038ED" w:rsidRPr="003A3678" w:rsidRDefault="000038ED" w:rsidP="000038ED"/>
    <w:p w:rsidR="000038ED" w:rsidRPr="009D6B96" w:rsidRDefault="000038ED" w:rsidP="000038ED">
      <w:pPr>
        <w:spacing w:before="280"/>
        <w:rPr>
          <w:b/>
        </w:rPr>
      </w:pPr>
      <w:r w:rsidRPr="009D6B96">
        <w:rPr>
          <w:b/>
        </w:rPr>
        <w:t>De raad wordt voorgesteld te besluiten om:</w:t>
      </w:r>
    </w:p>
    <w:p w:rsidR="00E118EA" w:rsidRDefault="00E118EA" w:rsidP="00E118EA">
      <w:pPr>
        <w:pStyle w:val="Lijstnummering"/>
      </w:pPr>
      <w:r>
        <w:t xml:space="preserve">a. Kennis te nemen van de resultaten van de toegezegde onderzoeken </w:t>
      </w:r>
      <w:r w:rsidR="00D960AC">
        <w:t>en acties</w:t>
      </w:r>
      <w:r>
        <w:br/>
        <w:t xml:space="preserve">b. kennis te nemen van de visie van het college op de onderzoeksresultaten. </w:t>
      </w:r>
    </w:p>
    <w:p w:rsidR="000038ED" w:rsidRDefault="00E118EA" w:rsidP="000038ED">
      <w:pPr>
        <w:pStyle w:val="Lijstnummering"/>
      </w:pPr>
      <w:r>
        <w:t>In te stemmen met v</w:t>
      </w:r>
      <w:r w:rsidR="008C6A35">
        <w:t>erhoging van het bedrag van de s</w:t>
      </w:r>
      <w:r>
        <w:t xml:space="preserve">cholierenregeling van € 375 naar € 450 en de </w:t>
      </w:r>
      <w:r w:rsidR="008C6A35">
        <w:t>verordening S</w:t>
      </w:r>
      <w:r w:rsidR="000038ED">
        <w:t xml:space="preserve">cholierenregeling </w:t>
      </w:r>
      <w:r>
        <w:t xml:space="preserve">aldus te </w:t>
      </w:r>
      <w:r w:rsidR="00FA156D">
        <w:t xml:space="preserve">wijzigen. </w:t>
      </w:r>
    </w:p>
    <w:p w:rsidR="0073792A" w:rsidRDefault="0073792A" w:rsidP="0073792A">
      <w:pPr>
        <w:pStyle w:val="Lijstnummering"/>
      </w:pPr>
      <w:r>
        <w:t xml:space="preserve">het bedrag voor alleenstaande </w:t>
      </w:r>
      <w:r w:rsidR="00FA156D">
        <w:t xml:space="preserve">ouders </w:t>
      </w:r>
      <w:r>
        <w:t xml:space="preserve">in de individuele inkomenstoeslag vast te stellen op € 0 en de verordening/beleidsregels aldus vast te stellen. </w:t>
      </w:r>
    </w:p>
    <w:p w:rsidR="00351835" w:rsidRDefault="008C6A35" w:rsidP="008C6A35">
      <w:pPr>
        <w:pStyle w:val="Lijstnummering"/>
      </w:pPr>
      <w:r>
        <w:t xml:space="preserve">a. </w:t>
      </w:r>
      <w:r w:rsidR="00B53A8F">
        <w:t>Participatieregel</w:t>
      </w:r>
      <w:r w:rsidR="00351835">
        <w:t>ing te verlengen</w:t>
      </w:r>
      <w:r>
        <w:t xml:space="preserve"> zonder einddatum </w:t>
      </w:r>
      <w:r>
        <w:br/>
        <w:t xml:space="preserve">b. de doelgroep van </w:t>
      </w:r>
      <w:r w:rsidR="00B53A8F">
        <w:t xml:space="preserve">deze regeling te beperken </w:t>
      </w:r>
      <w:r w:rsidR="00FA156D">
        <w:t xml:space="preserve">tot </w:t>
      </w:r>
      <w:r>
        <w:t xml:space="preserve">inwoners tussen </w:t>
      </w:r>
      <w:r w:rsidR="00FA156D">
        <w:t xml:space="preserve">18 </w:t>
      </w:r>
      <w:r>
        <w:t xml:space="preserve">jaar en </w:t>
      </w:r>
      <w:r w:rsidR="00FA156D">
        <w:t>AOW</w:t>
      </w:r>
      <w:r w:rsidR="00B53A8F">
        <w:t xml:space="preserve"> gerechtigde leeftijd</w:t>
      </w:r>
      <w:r w:rsidR="00516CC3">
        <w:t xml:space="preserve"> </w:t>
      </w:r>
      <w:r>
        <w:br/>
        <w:t xml:space="preserve">c. </w:t>
      </w:r>
      <w:r w:rsidR="00516CC3">
        <w:t xml:space="preserve">en de verordening aldus te wijzigen. </w:t>
      </w:r>
    </w:p>
    <w:p w:rsidR="00684D13" w:rsidRDefault="00684D13" w:rsidP="00684D13">
      <w:pPr>
        <w:pStyle w:val="Lijstnummering"/>
      </w:pPr>
      <w:r>
        <w:t>a. de tegemoetkoming voor chronisch zieken vast te stellen op € 175 per jaar</w:t>
      </w:r>
      <w:r>
        <w:br/>
        <w:t xml:space="preserve">b. de naam van de tegemoetkoming </w:t>
      </w:r>
      <w:r w:rsidR="00FA156D">
        <w:t xml:space="preserve">voor chronisch zieken en gehandicapten </w:t>
      </w:r>
      <w:r>
        <w:t>te veranderen in tegemoetkoming voor hoge zorgkosten</w:t>
      </w:r>
      <w:r>
        <w:br/>
        <w:t>c. en de verordening WMO aldus vast te stellen</w:t>
      </w:r>
    </w:p>
    <w:p w:rsidR="000038ED" w:rsidRDefault="000038ED" w:rsidP="000038ED">
      <w:pPr>
        <w:pStyle w:val="Lijstnummering"/>
      </w:pPr>
      <w:r>
        <w:t>als afgedaan te beschouwen</w:t>
      </w:r>
      <w:r>
        <w:br/>
      </w:r>
      <w:r w:rsidR="002469D8">
        <w:t xml:space="preserve">a. </w:t>
      </w:r>
      <w:r w:rsidRPr="00ED1D69">
        <w:t>toezegging: Terugbrengen frequentie aanvragen tegemoetkoming (zorgkosten) </w:t>
      </w:r>
      <w:r>
        <w:br/>
      </w:r>
      <w:r w:rsidR="002469D8">
        <w:t xml:space="preserve">b. </w:t>
      </w:r>
      <w:r w:rsidRPr="00ED1D69">
        <w:t>toezegging Uitvoeringstoets armoederegelingen (zorgkosten)</w:t>
      </w:r>
      <w:r>
        <w:br/>
      </w:r>
      <w:r w:rsidR="002469D8">
        <w:t xml:space="preserve">c. </w:t>
      </w:r>
      <w:r>
        <w:t>motie</w:t>
      </w:r>
      <w:r w:rsidRPr="00ED1D69">
        <w:t>: de armoede- en schuldhulpregelingen zo effectief mogelijk</w:t>
      </w:r>
      <w:r>
        <w:t xml:space="preserve"> in te zetten zodat meer mensen w</w:t>
      </w:r>
      <w:r w:rsidRPr="00ED1D69">
        <w:t>orden bereikt, met als doel om de budgetten beter te ben</w:t>
      </w:r>
      <w:r>
        <w:t>utten en niet om te bezuinigen</w:t>
      </w:r>
      <w:r>
        <w:br/>
      </w:r>
      <w:r w:rsidR="002469D8">
        <w:lastRenderedPageBreak/>
        <w:t xml:space="preserve">d. </w:t>
      </w:r>
      <w:r w:rsidRPr="00ED1D69">
        <w:t>actiepunt</w:t>
      </w:r>
      <w:r>
        <w:t>:</w:t>
      </w:r>
      <w:r w:rsidRPr="00ED1D69">
        <w:t xml:space="preserve"> Onderzoek versimpeling armoede- en schuldregelingen </w:t>
      </w:r>
      <w:r>
        <w:br/>
      </w:r>
      <w:r w:rsidR="002469D8">
        <w:t xml:space="preserve">e. </w:t>
      </w:r>
      <w:r w:rsidR="001A035F">
        <w:t>motie</w:t>
      </w:r>
      <w:r w:rsidRPr="00ED1D69">
        <w:t>: M</w:t>
      </w:r>
      <w:r>
        <w:t xml:space="preserve">inima effectrapportage </w:t>
      </w:r>
      <w:r w:rsidRPr="00ED1D69">
        <w:t>toezenden</w:t>
      </w:r>
      <w:r w:rsidR="001A035F">
        <w:t xml:space="preserve"> (3-11-2017)</w:t>
      </w:r>
    </w:p>
    <w:p w:rsidR="002469D8" w:rsidRDefault="002469D8" w:rsidP="00521468">
      <w:pPr>
        <w:pStyle w:val="Lijstnummering"/>
        <w:adjustRightInd/>
        <w:spacing w:line="240" w:lineRule="auto"/>
      </w:pPr>
      <w:r>
        <w:br w:type="page"/>
      </w:r>
    </w:p>
    <w:p w:rsidR="000038ED" w:rsidRPr="00BF07A6" w:rsidRDefault="000038ED" w:rsidP="000038ED">
      <w:pPr>
        <w:rPr>
          <w:rStyle w:val="Hyperlink"/>
          <w:b/>
        </w:rPr>
      </w:pPr>
      <w:r>
        <w:lastRenderedPageBreak/>
        <w:fldChar w:fldCharType="begin"/>
      </w:r>
      <w:r>
        <w:instrText>HYPERLINK "\\\\test.intern\\Data\\GezamenlijkY\\Gemeente\\Div\\Handleidingen_WO\\formats college-raad\\html\\Beslisnota voor college en raad handleiding.htm"</w:instrText>
      </w:r>
      <w:r>
        <w:fldChar w:fldCharType="separate"/>
      </w:r>
      <w:r w:rsidRPr="00BF07A6">
        <w:rPr>
          <w:rStyle w:val="Hyperlink"/>
          <w:b/>
        </w:rPr>
        <w:t>Toelichting op het voorstel</w:t>
      </w:r>
    </w:p>
    <w:p w:rsidR="000038ED" w:rsidRDefault="000038ED" w:rsidP="000038ED">
      <w:pPr>
        <w:rPr>
          <w:b/>
          <w:sz w:val="28"/>
        </w:rPr>
      </w:pPr>
      <w:r>
        <w:fldChar w:fldCharType="end"/>
      </w:r>
    </w:p>
    <w:p w:rsidR="000038ED" w:rsidRPr="009D6B96" w:rsidRDefault="000038ED" w:rsidP="00D333C4">
      <w:pPr>
        <w:spacing w:before="280" w:line="276" w:lineRule="auto"/>
        <w:rPr>
          <w:b/>
        </w:rPr>
      </w:pPr>
      <w:r w:rsidRPr="009D6B96">
        <w:rPr>
          <w:b/>
        </w:rPr>
        <w:t>Inleiding</w:t>
      </w:r>
    </w:p>
    <w:p w:rsidR="00594FFF" w:rsidRDefault="00D333C4" w:rsidP="00D333C4">
      <w:pPr>
        <w:autoSpaceDE w:val="0"/>
        <w:autoSpaceDN w:val="0"/>
        <w:spacing w:line="276" w:lineRule="auto"/>
      </w:pPr>
      <w:r>
        <w:t>H</w:t>
      </w:r>
      <w:r w:rsidR="00594FFF">
        <w:t xml:space="preserve">et college </w:t>
      </w:r>
      <w:r w:rsidR="00FA156D">
        <w:t xml:space="preserve">heeft </w:t>
      </w:r>
      <w:r w:rsidR="000038ED">
        <w:t>toegezegd om met de stad in gesprek te gaan over versimpeling van armoede- en schuldregelingen</w:t>
      </w:r>
      <w:r>
        <w:t xml:space="preserve"> en om een minimaeffectrapportage uit te laten voeren. </w:t>
      </w:r>
    </w:p>
    <w:p w:rsidR="000038ED" w:rsidRPr="001B0AA0" w:rsidRDefault="00E118EA" w:rsidP="00594FFF">
      <w:r>
        <w:t>Met</w:t>
      </w:r>
      <w:r w:rsidR="00B559D0">
        <w:t xml:space="preserve"> deze nota inform</w:t>
      </w:r>
      <w:r w:rsidR="002469D8">
        <w:t xml:space="preserve">eren we u over de uitkomsten van het onderzoek en het </w:t>
      </w:r>
      <w:r w:rsidR="00FA156D">
        <w:t xml:space="preserve">stadsgesprek, </w:t>
      </w:r>
      <w:r w:rsidR="00B559D0">
        <w:t xml:space="preserve">de interpretatie van het college hiervan en de maatregelen die het college </w:t>
      </w:r>
      <w:r w:rsidR="002469D8">
        <w:t xml:space="preserve">vervolgens heeft genomen en aan u voor wil </w:t>
      </w:r>
      <w:r w:rsidR="00FA156D">
        <w:t xml:space="preserve">leggen. </w:t>
      </w:r>
    </w:p>
    <w:p w:rsidR="000038ED" w:rsidRPr="009D6B96" w:rsidRDefault="000038ED" w:rsidP="000038ED">
      <w:pPr>
        <w:spacing w:before="280"/>
        <w:rPr>
          <w:b/>
        </w:rPr>
      </w:pPr>
      <w:r w:rsidRPr="009D6B96">
        <w:rPr>
          <w:b/>
        </w:rPr>
        <w:t>Beoogd effect</w:t>
      </w:r>
    </w:p>
    <w:p w:rsidR="00594FFF" w:rsidRDefault="008D26E4" w:rsidP="000038ED">
      <w:r>
        <w:t xml:space="preserve">Met het nemen van </w:t>
      </w:r>
      <w:r w:rsidR="00D333C4">
        <w:t xml:space="preserve">gerichte </w:t>
      </w:r>
      <w:r w:rsidR="00594FFF">
        <w:t xml:space="preserve">maatregelen zorgen we ervoor dat inwoners </w:t>
      </w:r>
      <w:r w:rsidR="00A76720">
        <w:t xml:space="preserve">met een laag inkomen </w:t>
      </w:r>
      <w:r w:rsidR="00D333C4">
        <w:t>k</w:t>
      </w:r>
      <w:r w:rsidR="00A76720">
        <w:t xml:space="preserve">unnen rondkomen </w:t>
      </w:r>
      <w:r w:rsidR="00594FFF">
        <w:t xml:space="preserve">via </w:t>
      </w:r>
      <w:r w:rsidR="00A76720">
        <w:t>ver</w:t>
      </w:r>
      <w:r w:rsidR="00594FFF">
        <w:t>simpel</w:t>
      </w:r>
      <w:r w:rsidR="00A76720">
        <w:t>de armoederegelingen die goed bereikbaar zijn. Hiermee</w:t>
      </w:r>
      <w:r w:rsidR="00D333C4">
        <w:t xml:space="preserve"> bereiken we dat iedereen mee kan doen en </w:t>
      </w:r>
      <w:r w:rsidR="00A76720">
        <w:t xml:space="preserve">voorkomen we dat </w:t>
      </w:r>
      <w:r w:rsidR="0002789F">
        <w:t>inwoners</w:t>
      </w:r>
      <w:r w:rsidR="00594FFF">
        <w:t xml:space="preserve"> </w:t>
      </w:r>
      <w:r w:rsidR="00D333C4">
        <w:t xml:space="preserve">door een laag inkomen </w:t>
      </w:r>
      <w:r w:rsidR="00594FFF">
        <w:t xml:space="preserve">in schulden of sociaal isolement belanden. </w:t>
      </w:r>
    </w:p>
    <w:p w:rsidR="000038ED" w:rsidRPr="009D6B96" w:rsidRDefault="000038ED" w:rsidP="000038ED">
      <w:pPr>
        <w:spacing w:before="280"/>
        <w:rPr>
          <w:b/>
        </w:rPr>
      </w:pPr>
      <w:r w:rsidRPr="009D6B96">
        <w:rPr>
          <w:b/>
        </w:rPr>
        <w:t>Argumenten</w:t>
      </w:r>
    </w:p>
    <w:p w:rsidR="00B011A2" w:rsidRDefault="00A76720" w:rsidP="00A85C97">
      <w:pPr>
        <w:numPr>
          <w:ilvl w:val="0"/>
          <w:numId w:val="47"/>
        </w:numPr>
        <w:rPr>
          <w:i/>
        </w:rPr>
      </w:pPr>
      <w:r w:rsidRPr="00A76720">
        <w:rPr>
          <w:i/>
        </w:rPr>
        <w:t>De o</w:t>
      </w:r>
      <w:r w:rsidR="00D960AC" w:rsidRPr="00A76720">
        <w:rPr>
          <w:i/>
        </w:rPr>
        <w:t>nderzoeksresulta</w:t>
      </w:r>
      <w:r>
        <w:rPr>
          <w:i/>
        </w:rPr>
        <w:t>t</w:t>
      </w:r>
      <w:r w:rsidR="00D960AC" w:rsidRPr="00A76720">
        <w:rPr>
          <w:i/>
        </w:rPr>
        <w:t>en</w:t>
      </w:r>
      <w:r>
        <w:rPr>
          <w:i/>
        </w:rPr>
        <w:t xml:space="preserve"> en opbrengsten van het stadsgesprek</w:t>
      </w:r>
      <w:r w:rsidR="008D26E4">
        <w:rPr>
          <w:i/>
        </w:rPr>
        <w:t xml:space="preserve"> met betrokken inwoners, ervaringsdeskundig, professioneel of </w:t>
      </w:r>
      <w:r w:rsidR="00FA156D">
        <w:rPr>
          <w:i/>
        </w:rPr>
        <w:t xml:space="preserve">vrijwillig, </w:t>
      </w:r>
      <w:r w:rsidR="00D960AC" w:rsidRPr="00A76720">
        <w:rPr>
          <w:i/>
        </w:rPr>
        <w:t xml:space="preserve">stellen ons in staat om </w:t>
      </w:r>
      <w:r w:rsidRPr="00A76720">
        <w:rPr>
          <w:i/>
        </w:rPr>
        <w:t xml:space="preserve">de doelgroep te bereiken en gericht te ondersteunen. </w:t>
      </w:r>
    </w:p>
    <w:p w:rsidR="00B011A2" w:rsidRDefault="00B011A2" w:rsidP="00B011A2">
      <w:pPr>
        <w:rPr>
          <w:i/>
        </w:rPr>
      </w:pPr>
    </w:p>
    <w:p w:rsidR="008D26E4" w:rsidRPr="00A85C97" w:rsidRDefault="00BA35CA" w:rsidP="008D26E4">
      <w:pPr>
        <w:rPr>
          <w:i/>
        </w:rPr>
      </w:pPr>
      <w:r w:rsidRPr="00A85C97">
        <w:rPr>
          <w:u w:val="single"/>
        </w:rPr>
        <w:t xml:space="preserve">Armoedemonitor </w:t>
      </w:r>
      <w:r w:rsidRPr="00A85C97">
        <w:rPr>
          <w:u w:val="single"/>
        </w:rPr>
        <w:br/>
      </w:r>
      <w:r>
        <w:t xml:space="preserve">Uit de Armoedemonitor 2018 </w:t>
      </w:r>
      <w:r w:rsidR="0002789F">
        <w:t>(</w:t>
      </w:r>
      <w:r>
        <w:t>die u al bij de begroting is toegezonden</w:t>
      </w:r>
      <w:r w:rsidR="0002789F">
        <w:t>)</w:t>
      </w:r>
      <w:r>
        <w:t xml:space="preserve"> blijkt </w:t>
      </w:r>
      <w:r w:rsidR="00A61FB3">
        <w:t>h</w:t>
      </w:r>
      <w:r w:rsidR="00A61FB3" w:rsidRPr="00A85C97">
        <w:rPr>
          <w:rFonts w:cs="Arial"/>
        </w:rPr>
        <w:t xml:space="preserve">et aantal mensen in Zwolle dat rond moet komen van een laag inkomen nog steeds stijgt, ondanks het economische </w:t>
      </w:r>
      <w:r w:rsidR="00FA156D" w:rsidRPr="00A85C97">
        <w:rPr>
          <w:rFonts w:cs="Arial"/>
        </w:rPr>
        <w:t xml:space="preserve">herstel. </w:t>
      </w:r>
      <w:r w:rsidR="008D26E4">
        <w:rPr>
          <w:rFonts w:cs="Arial"/>
        </w:rPr>
        <w:t xml:space="preserve">Ook laat </w:t>
      </w:r>
      <w:r w:rsidR="00FA156D">
        <w:rPr>
          <w:rFonts w:cs="Arial"/>
        </w:rPr>
        <w:t xml:space="preserve">de </w:t>
      </w:r>
      <w:r w:rsidR="008D26E4">
        <w:rPr>
          <w:rFonts w:cs="Arial"/>
        </w:rPr>
        <w:t>m</w:t>
      </w:r>
      <w:r w:rsidR="008D26E4">
        <w:t xml:space="preserve">onitor voor de meeste regelingen groeiend gebruik te zien is. Het groeiend gebruik is in lijn met de groei van de doelgroep. </w:t>
      </w:r>
    </w:p>
    <w:p w:rsidR="00A85C97" w:rsidRPr="00A85C97" w:rsidRDefault="00A61FB3" w:rsidP="00B011A2">
      <w:pPr>
        <w:rPr>
          <w:i/>
        </w:rPr>
      </w:pPr>
      <w:r w:rsidRPr="00A85C97">
        <w:rPr>
          <w:rFonts w:cs="Arial"/>
        </w:rPr>
        <w:t>Er zijn 6.400 huishoudens met een laag inkomen, 40% hiervan heeft langdurig een laag inkomen. Een groot deel</w:t>
      </w:r>
      <w:r w:rsidR="0002789F">
        <w:rPr>
          <w:rFonts w:cs="Arial"/>
        </w:rPr>
        <w:t xml:space="preserve">, 60%, </w:t>
      </w:r>
      <w:r w:rsidRPr="00A85C97">
        <w:rPr>
          <w:rFonts w:cs="Arial"/>
        </w:rPr>
        <w:t xml:space="preserve">bestaat uit eenpersoonshuishoudens. Als we kijken </w:t>
      </w:r>
      <w:r w:rsidR="0002789F">
        <w:rPr>
          <w:rFonts w:cs="Arial"/>
        </w:rPr>
        <w:t>naar het soort inkomen heeft 50%</w:t>
      </w:r>
      <w:r w:rsidRPr="00A85C97">
        <w:rPr>
          <w:rFonts w:cs="Arial"/>
        </w:rPr>
        <w:t xml:space="preserve"> van deze huishoudens een laag inkomen door een uitkering, </w:t>
      </w:r>
      <w:r w:rsidR="0002789F">
        <w:rPr>
          <w:rFonts w:cs="Arial"/>
        </w:rPr>
        <w:t xml:space="preserve">bij </w:t>
      </w:r>
      <w:r w:rsidRPr="00A85C97">
        <w:rPr>
          <w:rFonts w:cs="Arial"/>
        </w:rPr>
        <w:t xml:space="preserve">de andere helft is het lage inkomen </w:t>
      </w:r>
      <w:r w:rsidR="00FA156D" w:rsidRPr="00A85C97">
        <w:rPr>
          <w:rFonts w:cs="Arial"/>
        </w:rPr>
        <w:t>werk gerelateerd</w:t>
      </w:r>
      <w:r w:rsidRPr="00A85C97">
        <w:rPr>
          <w:rFonts w:cs="Arial"/>
        </w:rPr>
        <w:t xml:space="preserve">: uit loondienst, eigen onderneming, WW, WIA of klein pensioen. </w:t>
      </w:r>
      <w:r w:rsidRPr="00A85C97">
        <w:rPr>
          <w:rFonts w:cs="Arial"/>
        </w:rPr>
        <w:br/>
      </w:r>
      <w:r w:rsidRPr="00A61FB3">
        <w:t>Het college vindt goede bekendheid en goed bereik van armoederegelingen belangrijk</w:t>
      </w:r>
      <w:r>
        <w:t xml:space="preserve">. </w:t>
      </w:r>
      <w:r w:rsidRPr="00A85C97">
        <w:rPr>
          <w:rFonts w:cs="Arial"/>
        </w:rPr>
        <w:t>We willen huishoudens met een laag inkomen ondersteunen</w:t>
      </w:r>
      <w:r w:rsidR="0002789F">
        <w:rPr>
          <w:rFonts w:cs="Arial"/>
        </w:rPr>
        <w:t>,</w:t>
      </w:r>
      <w:r w:rsidRPr="00A85C97">
        <w:rPr>
          <w:rFonts w:cs="Arial"/>
        </w:rPr>
        <w:t xml:space="preserve"> zodat niemand aan de kant hoeft te staan of in de schulden beland</w:t>
      </w:r>
      <w:r w:rsidR="0002789F">
        <w:rPr>
          <w:rFonts w:cs="Arial"/>
        </w:rPr>
        <w:t>t</w:t>
      </w:r>
      <w:r w:rsidRPr="00A85C97">
        <w:rPr>
          <w:rFonts w:cs="Arial"/>
        </w:rPr>
        <w:t xml:space="preserve">. Vooral kinderen niet. Met de kennis uit </w:t>
      </w:r>
      <w:r w:rsidR="00FA156D" w:rsidRPr="00A85C97">
        <w:rPr>
          <w:rFonts w:cs="Arial"/>
        </w:rPr>
        <w:t xml:space="preserve">de </w:t>
      </w:r>
      <w:r w:rsidRPr="00A85C97">
        <w:rPr>
          <w:rFonts w:cs="Arial"/>
        </w:rPr>
        <w:t xml:space="preserve">recente wetenschappelijk inzichten over de invloed van stress door armoede- en schulden op het gedrag van mensen, weten we immers hoe belangrijk het is om financiële stress weg te kunnen nemen. </w:t>
      </w:r>
    </w:p>
    <w:p w:rsidR="00A85C97" w:rsidRDefault="00A85C97" w:rsidP="00A76720">
      <w:pPr>
        <w:ind w:left="720"/>
      </w:pPr>
    </w:p>
    <w:p w:rsidR="00A76720" w:rsidRDefault="00BA35CA" w:rsidP="00B011A2">
      <w:r w:rsidRPr="00BA35CA">
        <w:rPr>
          <w:u w:val="single"/>
        </w:rPr>
        <w:t>Stadsgesprekken Versimpeling</w:t>
      </w:r>
      <w:r>
        <w:rPr>
          <w:i/>
          <w:u w:val="single"/>
        </w:rPr>
        <w:br/>
      </w:r>
      <w:r w:rsidR="0002789F">
        <w:t>Tijdens de stadsdialoog in november 2018 zijn we met elkaar in gesprek gegaan over het versimpelen van arm</w:t>
      </w:r>
      <w:r w:rsidR="008D26E4">
        <w:t>oede- en schuld</w:t>
      </w:r>
      <w:r w:rsidR="0002789F">
        <w:t xml:space="preserve">regelingen. </w:t>
      </w:r>
      <w:r>
        <w:t xml:space="preserve">Uit de gesprekken kwam naar voren dat voor inwoners persoonlijk en warm </w:t>
      </w:r>
      <w:r w:rsidR="00FA156D">
        <w:t xml:space="preserve">contact </w:t>
      </w:r>
      <w:r>
        <w:t xml:space="preserve">belangrijk is bij het aanvragen van armoede- en schuldregelingen. </w:t>
      </w:r>
      <w:r w:rsidR="0073792A">
        <w:t xml:space="preserve">Met door inloopspreekuren in de wijk wordt hieraan al invulling gegeven. </w:t>
      </w:r>
      <w:r>
        <w:t>Daarnaast werd benoemd dat duidelijkheid en structuur belangrijk is. Er zijn geen grote wijzigingen geopperd, maar juist het verzoek om het geen grote wi</w:t>
      </w:r>
      <w:r w:rsidR="0002789F">
        <w:t>jzigingen door te voeren. Er is</w:t>
      </w:r>
      <w:r>
        <w:t xml:space="preserve"> tevredenheid over </w:t>
      </w:r>
      <w:r w:rsidR="0002789F">
        <w:t xml:space="preserve">de bestaande regelingen en over </w:t>
      </w:r>
      <w:r>
        <w:t>de wijze van aanvragen, via website of juist persoonlijk via Op Orde in de wijk. Ook de aanpassingen die door het versimpelteam zijn doorgevoerd</w:t>
      </w:r>
      <w:r w:rsidR="0002789F">
        <w:t xml:space="preserve"> in brieven en op de website</w:t>
      </w:r>
      <w:r>
        <w:t xml:space="preserve"> </w:t>
      </w:r>
      <w:r w:rsidR="0002789F">
        <w:t>werden</w:t>
      </w:r>
      <w:r>
        <w:t xml:space="preserve"> positief beoordeeld. Er zijn nog tips gegevens om meer mensen in de doelgroep te bereiken. </w:t>
      </w:r>
      <w:r w:rsidR="001A035F">
        <w:t xml:space="preserve">Deze worden meegenomen. </w:t>
      </w:r>
      <w:r w:rsidR="00FA156D">
        <w:t xml:space="preserve">Ook hebben we tijdens de stadsgesprekken gesproken over de tegemoetkoming in </w:t>
      </w:r>
      <w:r w:rsidR="00FA156D">
        <w:lastRenderedPageBreak/>
        <w:t xml:space="preserve">meerkosten voor voor chronisch zieken en hebben we mogelijkheden om te komen tot vereenvoudiging van deze regeling geïnventariseerd. </w:t>
      </w:r>
    </w:p>
    <w:p w:rsidR="00A85C97" w:rsidRDefault="00A85C97" w:rsidP="00A76720">
      <w:pPr>
        <w:ind w:left="720"/>
        <w:rPr>
          <w:u w:val="single"/>
        </w:rPr>
      </w:pPr>
    </w:p>
    <w:p w:rsidR="000C7946" w:rsidRDefault="00BA35CA" w:rsidP="00684D13">
      <w:r w:rsidRPr="00A61FB3">
        <w:rPr>
          <w:u w:val="single"/>
        </w:rPr>
        <w:t>Minimaeffectrapportage</w:t>
      </w:r>
      <w:r w:rsidR="00B011A2">
        <w:rPr>
          <w:u w:val="single"/>
        </w:rPr>
        <w:t xml:space="preserve"> 2018</w:t>
      </w:r>
      <w:r w:rsidR="00A61FB3">
        <w:rPr>
          <w:u w:val="single"/>
        </w:rPr>
        <w:br/>
      </w:r>
      <w:r w:rsidR="001A035F">
        <w:t>Uw raad heeft in 2017 elk nieuw</w:t>
      </w:r>
      <w:r w:rsidR="001A035F" w:rsidRPr="001A035F">
        <w:t xml:space="preserve"> college gevraagd</w:t>
      </w:r>
      <w:r w:rsidR="001A035F">
        <w:t xml:space="preserve"> om met een Minimaeffectrapportage van het Nibud inzicht te geven in het effect van </w:t>
      </w:r>
      <w:r w:rsidR="00A85C97">
        <w:t xml:space="preserve">onze gemeentelijke </w:t>
      </w:r>
      <w:r w:rsidR="001A035F">
        <w:t>minimaregelingen. Het Nibud heeft di</w:t>
      </w:r>
      <w:r w:rsidR="00E60F23">
        <w:t>t onderzoek eind</w:t>
      </w:r>
      <w:r w:rsidR="00684D13">
        <w:t xml:space="preserve"> 2018 uitgevoerd. </w:t>
      </w:r>
      <w:r w:rsidR="00E60F23">
        <w:t xml:space="preserve">Het onderzoek laat zien wat het effect van rijks- en gemeentelijke inkomensondersteuning is en gaat daarbij uit van basis uitgaven aan voeding, wonen en sociale participatie. </w:t>
      </w:r>
      <w:r w:rsidR="00684D13">
        <w:t xml:space="preserve">Daarbij zijn </w:t>
      </w:r>
      <w:r w:rsidR="00E60F23">
        <w:t xml:space="preserve">al wel </w:t>
      </w:r>
      <w:r w:rsidR="00684D13">
        <w:t xml:space="preserve">de gegevens van de nieuwe collectieve zorgverzekering </w:t>
      </w:r>
      <w:r w:rsidR="00735746">
        <w:t xml:space="preserve">2019 </w:t>
      </w:r>
      <w:r w:rsidR="00684D13">
        <w:t xml:space="preserve">meegenomen, om ook </w:t>
      </w:r>
      <w:r w:rsidR="00735746">
        <w:t xml:space="preserve">het effect van deze </w:t>
      </w:r>
      <w:r w:rsidR="00E60F23">
        <w:t xml:space="preserve">gemeentelijke </w:t>
      </w:r>
      <w:r w:rsidR="00684D13">
        <w:t xml:space="preserve">regeling inzichtelijk te maken. </w:t>
      </w:r>
      <w:r w:rsidR="00C13A61">
        <w:t xml:space="preserve">Uit het Nibud onderzoek blijkt dat we met </w:t>
      </w:r>
      <w:r w:rsidR="007D7239">
        <w:t xml:space="preserve">onze </w:t>
      </w:r>
      <w:r w:rsidR="007D7239" w:rsidRPr="00ED1D69">
        <w:t>gemeentelijk</w:t>
      </w:r>
      <w:r w:rsidR="007D7239">
        <w:t xml:space="preserve"> </w:t>
      </w:r>
      <w:r w:rsidR="007D7239" w:rsidRPr="00ED1D69">
        <w:t xml:space="preserve">regelingen </w:t>
      </w:r>
      <w:r w:rsidR="00C13A61">
        <w:t>een positief effect hebben op de bestedingsruimte van de onderzochte huishoudtypes.</w:t>
      </w:r>
      <w:r w:rsidR="007A6AEF">
        <w:t xml:space="preserve"> </w:t>
      </w:r>
      <w:r w:rsidR="007D7239">
        <w:t>Ook constateert het Nibud dat</w:t>
      </w:r>
      <w:r w:rsidR="007D7239" w:rsidRPr="00ED1D69">
        <w:t xml:space="preserve"> we met de</w:t>
      </w:r>
      <w:r w:rsidR="00735746">
        <w:t xml:space="preserve"> gerichte </w:t>
      </w:r>
      <w:r w:rsidR="007D7239" w:rsidRPr="00ED1D69">
        <w:t>maatregelen die we n</w:t>
      </w:r>
      <w:r w:rsidR="007A6AEF">
        <w:t>aar aanleiding van</w:t>
      </w:r>
      <w:r w:rsidR="007D7239" w:rsidRPr="00ED1D69">
        <w:t xml:space="preserve"> de MER 2015 </w:t>
      </w:r>
      <w:r w:rsidR="00735746">
        <w:t xml:space="preserve">genomen hebben, </w:t>
      </w:r>
      <w:r w:rsidR="007D7239">
        <w:t>grote verbeteringen realiseren in de financiële situatie van huishoudens met een minimum inkomen</w:t>
      </w:r>
      <w:r w:rsidR="007D7239" w:rsidRPr="00ED1D69">
        <w:t>.</w:t>
      </w:r>
    </w:p>
    <w:p w:rsidR="00B011A2" w:rsidRDefault="007D7239" w:rsidP="00684D13">
      <w:r w:rsidRPr="00ED1D69">
        <w:t xml:space="preserve">Als we </w:t>
      </w:r>
      <w:r w:rsidR="00735746">
        <w:t xml:space="preserve">inzoomen </w:t>
      </w:r>
      <w:r w:rsidRPr="00ED1D69">
        <w:t xml:space="preserve">op de </w:t>
      </w:r>
      <w:r>
        <w:t xml:space="preserve">resultaten van de MER 2018 </w:t>
      </w:r>
      <w:r w:rsidRPr="00ED1D69">
        <w:t xml:space="preserve">zien we </w:t>
      </w:r>
      <w:r w:rsidR="00C13A61">
        <w:t>de effecten van onze maatregelen verschillen per huishoudtype. We zien drie groepen met positieve saldi en twee groepen met negatieve saldi</w:t>
      </w:r>
      <w:r w:rsidR="002D072A">
        <w:t>. De huishoudplaatjes van e</w:t>
      </w:r>
      <w:r w:rsidR="000C7946">
        <w:t>enoudergezinnen</w:t>
      </w:r>
      <w:r w:rsidR="002D072A">
        <w:t xml:space="preserve"> </w:t>
      </w:r>
      <w:r w:rsidR="007A6AEF">
        <w:t>kennen b</w:t>
      </w:r>
      <w:r w:rsidRPr="00ED1D69">
        <w:t>ij de Zw</w:t>
      </w:r>
      <w:r w:rsidR="007A6AEF">
        <w:t xml:space="preserve">olse armoedegrens </w:t>
      </w:r>
      <w:r w:rsidR="000C7946">
        <w:t xml:space="preserve">van </w:t>
      </w:r>
      <w:r w:rsidR="00FA156D">
        <w:t>110%</w:t>
      </w:r>
      <w:r w:rsidR="00FA156D" w:rsidRPr="00ED1D69">
        <w:t xml:space="preserve"> </w:t>
      </w:r>
      <w:r w:rsidR="002D072A">
        <w:t xml:space="preserve">en </w:t>
      </w:r>
      <w:r w:rsidRPr="00ED1D69">
        <w:t>ongeacht de leeftijd van de kinderen</w:t>
      </w:r>
      <w:r w:rsidR="002D072A">
        <w:t>, geen tekorten</w:t>
      </w:r>
      <w:r w:rsidRPr="00ED1D69">
        <w:t xml:space="preserve">. </w:t>
      </w:r>
      <w:r w:rsidR="007A6AEF">
        <w:t>Ook h</w:t>
      </w:r>
      <w:r w:rsidRPr="00ED1D69">
        <w:t>uishoudens met een zorgvr</w:t>
      </w:r>
      <w:r w:rsidR="000C7946">
        <w:t>aag hebben geen tekorten bij de</w:t>
      </w:r>
      <w:r w:rsidR="002D072A">
        <w:t xml:space="preserve"> voor deze huishoudens geldende</w:t>
      </w:r>
      <w:r w:rsidR="000C7946">
        <w:t xml:space="preserve"> inkomens</w:t>
      </w:r>
      <w:r w:rsidR="002D072A">
        <w:t>grens van 130% van het sociaal minimum.</w:t>
      </w:r>
      <w:r w:rsidRPr="00ED1D69">
        <w:t xml:space="preserve"> </w:t>
      </w:r>
      <w:r w:rsidR="000C7946">
        <w:t xml:space="preserve">Tot slot laten ook </w:t>
      </w:r>
      <w:r w:rsidR="007A6AEF">
        <w:t xml:space="preserve">huishoudens met </w:t>
      </w:r>
      <w:r w:rsidR="000C7946">
        <w:t xml:space="preserve">ouderen (vanaf </w:t>
      </w:r>
      <w:r w:rsidR="00FA156D">
        <w:t>AOW</w:t>
      </w:r>
      <w:r w:rsidR="007A6AEF">
        <w:t xml:space="preserve"> gerechtigde </w:t>
      </w:r>
      <w:r w:rsidR="000C7946">
        <w:t xml:space="preserve">leeftijd) geen tekorten zien. </w:t>
      </w:r>
      <w:r w:rsidRPr="00ED1D69">
        <w:t xml:space="preserve">Voor huishoudens met een alleenstaande </w:t>
      </w:r>
      <w:r w:rsidR="000C7946">
        <w:t xml:space="preserve">van 18 tot 65 jaar </w:t>
      </w:r>
      <w:r w:rsidR="002D072A">
        <w:t xml:space="preserve">daarentegen is het </w:t>
      </w:r>
      <w:r w:rsidRPr="00ED1D69">
        <w:t xml:space="preserve">saldo negatief, </w:t>
      </w:r>
      <w:r w:rsidR="00FA156D" w:rsidRPr="00ED1D69">
        <w:t>hoewel</w:t>
      </w:r>
      <w:r w:rsidRPr="00ED1D69">
        <w:t xml:space="preserve"> het negatieve saldo kleiner is </w:t>
      </w:r>
      <w:r w:rsidR="007A6AEF">
        <w:t>geworden door invoering van de p</w:t>
      </w:r>
      <w:r w:rsidRPr="00ED1D69">
        <w:t>articipatieregeling</w:t>
      </w:r>
      <w:r w:rsidR="002D072A">
        <w:t xml:space="preserve"> en de nieuwe collectieve zorgverzekering</w:t>
      </w:r>
      <w:r w:rsidRPr="00ED1D69">
        <w:t>.</w:t>
      </w:r>
      <w:r w:rsidR="000C7946">
        <w:t xml:space="preserve"> </w:t>
      </w:r>
      <w:r w:rsidR="000C7946" w:rsidRPr="00ED1D69">
        <w:t>Huishoudens met twee volwassenen, zowel met als zonder ki</w:t>
      </w:r>
      <w:r w:rsidR="002D072A">
        <w:t xml:space="preserve">nderen, laten eveneens tekorten. </w:t>
      </w:r>
      <w:r w:rsidR="000C7946" w:rsidRPr="00ED1D69">
        <w:t>Dit tekort laat zich verklaren doordat de kosten voor een extra volwasse</w:t>
      </w:r>
      <w:r w:rsidR="000C7946">
        <w:t>ne</w:t>
      </w:r>
      <w:r w:rsidR="000C7946" w:rsidRPr="00ED1D69">
        <w:t xml:space="preserve"> hoger zijn dan waar de wettelijke bijstandsnor</w:t>
      </w:r>
      <w:r w:rsidR="000C7946">
        <w:t>m mee rekent.</w:t>
      </w:r>
      <w:r w:rsidR="000C7946" w:rsidRPr="00ED1D69">
        <w:t xml:space="preserve"> </w:t>
      </w:r>
      <w:r w:rsidR="002D072A">
        <w:t>Van alle onderzochte huishoudens zien we v</w:t>
      </w:r>
      <w:r w:rsidR="000C7946">
        <w:t xml:space="preserve">oor </w:t>
      </w:r>
      <w:r w:rsidR="002D072A">
        <w:t>huishoudens bestaande uit twee volwassenen en twee</w:t>
      </w:r>
      <w:r w:rsidRPr="00ED1D69">
        <w:t xml:space="preserve"> kinderen</w:t>
      </w:r>
      <w:r w:rsidR="007A6AEF">
        <w:t xml:space="preserve"> van 14 en 16 jaar</w:t>
      </w:r>
      <w:r w:rsidR="002D072A">
        <w:t xml:space="preserve"> </w:t>
      </w:r>
      <w:r w:rsidR="000C7946">
        <w:t>het</w:t>
      </w:r>
      <w:r w:rsidR="002D072A">
        <w:t xml:space="preserve"> grootste</w:t>
      </w:r>
      <w:r w:rsidR="000C7946">
        <w:t xml:space="preserve"> tekort</w:t>
      </w:r>
      <w:r w:rsidR="002D072A">
        <w:t xml:space="preserve">, </w:t>
      </w:r>
      <w:r w:rsidR="000C7946">
        <w:t>€ 96 per maand</w:t>
      </w:r>
      <w:r w:rsidR="002D072A">
        <w:t xml:space="preserve"> in de eerste drie jaar. N</w:t>
      </w:r>
      <w:r w:rsidR="000C7946">
        <w:t xml:space="preserve">a 3 jaar met een individuele inkomenstoeslag bedraagt het tekort nog € 54 per maand. </w:t>
      </w:r>
      <w:r w:rsidR="002D072A">
        <w:t xml:space="preserve">Met de collectieve zorgverzekering, de participatieregeling en de </w:t>
      </w:r>
      <w:r w:rsidR="00FA156D">
        <w:t xml:space="preserve">scholierenregeling </w:t>
      </w:r>
      <w:r w:rsidR="007A6AEF">
        <w:t>zijn de tekorten</w:t>
      </w:r>
      <w:r w:rsidR="000C7946">
        <w:t xml:space="preserve"> voor deze </w:t>
      </w:r>
      <w:r w:rsidR="00FA156D">
        <w:t xml:space="preserve">groep </w:t>
      </w:r>
      <w:r w:rsidR="007A6AEF">
        <w:t>kleiner</w:t>
      </w:r>
      <w:r w:rsidR="000C7946">
        <w:t xml:space="preserve"> dan in de vorige MER</w:t>
      </w:r>
      <w:r w:rsidR="007A6AEF">
        <w:t xml:space="preserve">, maar nog niet verdwenen. </w:t>
      </w:r>
      <w:r w:rsidR="002D072A">
        <w:t xml:space="preserve">Tekorten zijn er ook bij hogere inkomensgrenzen tot wel € 105 per maand bij 120% van het sociaal minimum. Met de verhoging van de inkomensgrens voor de scholierenregeling tot 130% beperken we deze tekorten slechts voor een deel. </w:t>
      </w:r>
    </w:p>
    <w:p w:rsidR="000C7946" w:rsidRDefault="000C7946" w:rsidP="00684D13"/>
    <w:p w:rsidR="007A6AEF" w:rsidRDefault="00B011A2" w:rsidP="00B011A2">
      <w:r>
        <w:t xml:space="preserve">Doordat het Nibud voor meerdere gemeentes een </w:t>
      </w:r>
      <w:r w:rsidR="000C7946">
        <w:t xml:space="preserve">dergelijk onderzoek uitvoert, hebben we onze resultaten </w:t>
      </w:r>
      <w:r w:rsidR="002D072A">
        <w:t xml:space="preserve">kunnen vergelijken. Gemeente Utrecht heeft </w:t>
      </w:r>
      <w:r w:rsidR="00684D13">
        <w:t>in 2018</w:t>
      </w:r>
      <w:r>
        <w:t xml:space="preserve"> dezelfde h</w:t>
      </w:r>
      <w:r w:rsidR="00684D13">
        <w:t>uishoudtypes</w:t>
      </w:r>
      <w:r w:rsidR="005960F7">
        <w:t xml:space="preserve"> onderzocht zijn. </w:t>
      </w:r>
      <w:r w:rsidR="00684D13">
        <w:t>De resultaten zijn weergegeven in onderstaande tabel. We zijn ruimhartig in het onderste</w:t>
      </w:r>
      <w:r w:rsidR="005960F7">
        <w:t>u</w:t>
      </w:r>
      <w:r w:rsidR="00684D13">
        <w:t>nen van huishoudens met een zorgvraag, weten de tekorten voor huishoudens met kinderen van 14 en 16 jaar</w:t>
      </w:r>
      <w:r w:rsidR="005960F7">
        <w:t xml:space="preserve"> beter te beperken, maar zien in Zwolle grotere </w:t>
      </w:r>
      <w:r w:rsidR="00684D13">
        <w:t xml:space="preserve">tekorten </w:t>
      </w:r>
      <w:r w:rsidR="005960F7">
        <w:t xml:space="preserve">dan in Utrecht </w:t>
      </w:r>
      <w:r w:rsidR="00684D13">
        <w:t>bij</w:t>
      </w:r>
      <w:r w:rsidR="005960F7">
        <w:t xml:space="preserve"> huishoudens met </w:t>
      </w:r>
      <w:r w:rsidR="00FA156D">
        <w:t xml:space="preserve">een </w:t>
      </w:r>
      <w:r w:rsidR="002E423C">
        <w:t xml:space="preserve">of twee </w:t>
      </w:r>
      <w:r w:rsidR="005960F7">
        <w:t>volwassene</w:t>
      </w:r>
      <w:r w:rsidR="002E423C">
        <w:t>n</w:t>
      </w:r>
      <w:r w:rsidR="005960F7">
        <w:t>.</w:t>
      </w:r>
      <w:r>
        <w:br/>
      </w:r>
    </w:p>
    <w:p w:rsidR="007A6AEF" w:rsidRPr="004455B2" w:rsidRDefault="007A6AEF" w:rsidP="007A6AEF">
      <w:pPr>
        <w:adjustRightInd/>
        <w:spacing w:line="276" w:lineRule="auto"/>
        <w:rPr>
          <w:rFonts w:cs="Arial"/>
          <w:color w:val="000000"/>
        </w:rPr>
      </w:pPr>
      <w:r>
        <w:rPr>
          <w:rFonts w:cs="Arial"/>
          <w:color w:val="000000"/>
        </w:rPr>
        <w:t xml:space="preserve">Tabel: </w:t>
      </w:r>
      <w:r w:rsidR="00684D13">
        <w:rPr>
          <w:rFonts w:cs="Arial"/>
          <w:color w:val="000000"/>
        </w:rPr>
        <w:t xml:space="preserve">vergelijking </w:t>
      </w:r>
      <w:r>
        <w:rPr>
          <w:rFonts w:cs="Arial"/>
          <w:color w:val="000000"/>
        </w:rPr>
        <w:t>uitkomsten MER 2018 Zwolle en Utrecht voor onderzochte huishoudtypes, saldi zijn in euro’s per maand.</w:t>
      </w:r>
    </w:p>
    <w:p w:rsidR="007A6AEF" w:rsidRDefault="007A6AEF" w:rsidP="007A6AEF"/>
    <w:tbl>
      <w:tblPr>
        <w:tblStyle w:val="Tabelraster"/>
        <w:tblW w:w="0" w:type="auto"/>
        <w:tblInd w:w="1231" w:type="dxa"/>
        <w:tblLook w:val="04A0" w:firstRow="1" w:lastRow="0" w:firstColumn="1" w:lastColumn="0" w:noHBand="0" w:noVBand="1"/>
      </w:tblPr>
      <w:tblGrid>
        <w:gridCol w:w="2235"/>
        <w:gridCol w:w="1701"/>
        <w:gridCol w:w="1417"/>
      </w:tblGrid>
      <w:tr w:rsidR="007A6AEF" w:rsidTr="00684D13">
        <w:trPr>
          <w:trHeight w:val="70"/>
        </w:trPr>
        <w:tc>
          <w:tcPr>
            <w:tcW w:w="2235" w:type="dxa"/>
          </w:tcPr>
          <w:p w:rsidR="007A6AEF" w:rsidRDefault="007A6AEF" w:rsidP="007A6AEF">
            <w:pPr>
              <w:adjustRightInd/>
              <w:spacing w:line="240" w:lineRule="auto"/>
              <w:rPr>
                <w:b/>
              </w:rPr>
            </w:pPr>
            <w:r>
              <w:rPr>
                <w:b/>
              </w:rPr>
              <w:t>Huishoudtype</w:t>
            </w:r>
          </w:p>
        </w:tc>
        <w:tc>
          <w:tcPr>
            <w:tcW w:w="1701" w:type="dxa"/>
          </w:tcPr>
          <w:p w:rsidR="007A6AEF" w:rsidRDefault="007A6AEF" w:rsidP="007A6AEF">
            <w:pPr>
              <w:adjustRightInd/>
              <w:spacing w:line="240" w:lineRule="auto"/>
              <w:rPr>
                <w:b/>
              </w:rPr>
            </w:pPr>
            <w:r>
              <w:rPr>
                <w:b/>
              </w:rPr>
              <w:t xml:space="preserve">Zwolle </w:t>
            </w:r>
          </w:p>
        </w:tc>
        <w:tc>
          <w:tcPr>
            <w:tcW w:w="1417" w:type="dxa"/>
          </w:tcPr>
          <w:p w:rsidR="007A6AEF" w:rsidRDefault="007A6AEF" w:rsidP="007A6AEF">
            <w:pPr>
              <w:adjustRightInd/>
              <w:spacing w:line="240" w:lineRule="auto"/>
              <w:rPr>
                <w:b/>
              </w:rPr>
            </w:pPr>
            <w:r>
              <w:rPr>
                <w:b/>
              </w:rPr>
              <w:t>Utrecht</w:t>
            </w:r>
          </w:p>
        </w:tc>
      </w:tr>
      <w:tr w:rsidR="007A6AEF" w:rsidTr="00684D13">
        <w:tc>
          <w:tcPr>
            <w:tcW w:w="2235" w:type="dxa"/>
          </w:tcPr>
          <w:p w:rsidR="007A6AEF" w:rsidRDefault="007A6AEF" w:rsidP="007A6AEF">
            <w:pPr>
              <w:adjustRightInd/>
              <w:spacing w:line="240" w:lineRule="auto"/>
              <w:rPr>
                <w:b/>
              </w:rPr>
            </w:pPr>
            <w:r>
              <w:rPr>
                <w:b/>
              </w:rPr>
              <w:t>Alleenstaande 110%</w:t>
            </w:r>
          </w:p>
        </w:tc>
        <w:tc>
          <w:tcPr>
            <w:tcW w:w="1701" w:type="dxa"/>
          </w:tcPr>
          <w:p w:rsidR="007A6AEF" w:rsidRPr="0088476F" w:rsidRDefault="007A6AEF" w:rsidP="007A6AEF">
            <w:pPr>
              <w:adjustRightInd/>
              <w:spacing w:line="240" w:lineRule="auto"/>
              <w:jc w:val="right"/>
              <w:rPr>
                <w:color w:val="FF0000"/>
              </w:rPr>
            </w:pPr>
            <w:r w:rsidRPr="0088476F">
              <w:rPr>
                <w:color w:val="FF0000"/>
              </w:rPr>
              <w:t>-36</w:t>
            </w:r>
          </w:p>
        </w:tc>
        <w:tc>
          <w:tcPr>
            <w:tcW w:w="1417" w:type="dxa"/>
          </w:tcPr>
          <w:p w:rsidR="007A6AEF" w:rsidRPr="0088476F" w:rsidRDefault="007A6AEF" w:rsidP="007A6AEF">
            <w:pPr>
              <w:adjustRightInd/>
              <w:spacing w:line="240" w:lineRule="auto"/>
              <w:jc w:val="right"/>
            </w:pPr>
            <w:r w:rsidRPr="0088476F">
              <w:t>1</w:t>
            </w:r>
          </w:p>
        </w:tc>
      </w:tr>
      <w:tr w:rsidR="007A6AEF" w:rsidTr="00684D13">
        <w:tc>
          <w:tcPr>
            <w:tcW w:w="2235" w:type="dxa"/>
          </w:tcPr>
          <w:p w:rsidR="007A6AEF" w:rsidRDefault="007A6AEF" w:rsidP="007A6AEF">
            <w:pPr>
              <w:adjustRightInd/>
              <w:spacing w:line="240" w:lineRule="auto"/>
              <w:rPr>
                <w:b/>
              </w:rPr>
            </w:pPr>
            <w:r>
              <w:rPr>
                <w:b/>
              </w:rPr>
              <w:t>Alleenstaande Oudere</w:t>
            </w:r>
          </w:p>
        </w:tc>
        <w:tc>
          <w:tcPr>
            <w:tcW w:w="1701" w:type="dxa"/>
          </w:tcPr>
          <w:p w:rsidR="007A6AEF" w:rsidRPr="0088476F" w:rsidRDefault="007A6AEF" w:rsidP="007A6AEF">
            <w:pPr>
              <w:adjustRightInd/>
              <w:spacing w:line="240" w:lineRule="auto"/>
              <w:jc w:val="right"/>
            </w:pPr>
            <w:r w:rsidRPr="0088476F">
              <w:t>145</w:t>
            </w:r>
          </w:p>
        </w:tc>
        <w:tc>
          <w:tcPr>
            <w:tcW w:w="1417" w:type="dxa"/>
          </w:tcPr>
          <w:p w:rsidR="007A6AEF" w:rsidRPr="0088476F" w:rsidRDefault="007A6AEF" w:rsidP="007A6AEF">
            <w:pPr>
              <w:adjustRightInd/>
              <w:spacing w:line="240" w:lineRule="auto"/>
              <w:jc w:val="right"/>
            </w:pPr>
            <w:r w:rsidRPr="0088476F">
              <w:t>143</w:t>
            </w:r>
          </w:p>
        </w:tc>
      </w:tr>
      <w:tr w:rsidR="007A6AEF" w:rsidTr="00684D13">
        <w:tc>
          <w:tcPr>
            <w:tcW w:w="2235" w:type="dxa"/>
          </w:tcPr>
          <w:p w:rsidR="007A6AEF" w:rsidRDefault="007A6AEF" w:rsidP="007A6AEF">
            <w:pPr>
              <w:adjustRightInd/>
              <w:spacing w:line="240" w:lineRule="auto"/>
              <w:rPr>
                <w:b/>
              </w:rPr>
            </w:pPr>
            <w:r>
              <w:rPr>
                <w:b/>
              </w:rPr>
              <w:t xml:space="preserve">Eenoudergezin </w:t>
            </w:r>
            <w:r>
              <w:rPr>
                <w:b/>
              </w:rPr>
              <w:lastRenderedPageBreak/>
              <w:t xml:space="preserve">jonge kinderen </w:t>
            </w:r>
          </w:p>
        </w:tc>
        <w:tc>
          <w:tcPr>
            <w:tcW w:w="1701" w:type="dxa"/>
          </w:tcPr>
          <w:p w:rsidR="007A6AEF" w:rsidRPr="0088476F" w:rsidRDefault="007A6AEF" w:rsidP="007A6AEF">
            <w:pPr>
              <w:adjustRightInd/>
              <w:spacing w:line="240" w:lineRule="auto"/>
              <w:jc w:val="right"/>
            </w:pPr>
            <w:r w:rsidRPr="0088476F">
              <w:lastRenderedPageBreak/>
              <w:t>214</w:t>
            </w:r>
          </w:p>
        </w:tc>
        <w:tc>
          <w:tcPr>
            <w:tcW w:w="1417" w:type="dxa"/>
          </w:tcPr>
          <w:p w:rsidR="007A6AEF" w:rsidRPr="0088476F" w:rsidRDefault="007A6AEF" w:rsidP="007A6AEF">
            <w:pPr>
              <w:adjustRightInd/>
              <w:spacing w:line="240" w:lineRule="auto"/>
              <w:jc w:val="right"/>
            </w:pPr>
            <w:r w:rsidRPr="0088476F">
              <w:t>184</w:t>
            </w:r>
          </w:p>
        </w:tc>
      </w:tr>
      <w:tr w:rsidR="007A6AEF" w:rsidTr="00684D13">
        <w:tc>
          <w:tcPr>
            <w:tcW w:w="2235" w:type="dxa"/>
          </w:tcPr>
          <w:p w:rsidR="007A6AEF" w:rsidRDefault="007A6AEF" w:rsidP="007A6AEF">
            <w:pPr>
              <w:adjustRightInd/>
              <w:spacing w:line="240" w:lineRule="auto"/>
              <w:rPr>
                <w:b/>
              </w:rPr>
            </w:pPr>
            <w:r>
              <w:rPr>
                <w:b/>
              </w:rPr>
              <w:t>Eenoudergezin met kinderen 14 en 16 jaar</w:t>
            </w:r>
          </w:p>
        </w:tc>
        <w:tc>
          <w:tcPr>
            <w:tcW w:w="1701" w:type="dxa"/>
          </w:tcPr>
          <w:p w:rsidR="007A6AEF" w:rsidRPr="0088476F" w:rsidRDefault="007A6AEF" w:rsidP="007A6AEF">
            <w:pPr>
              <w:adjustRightInd/>
              <w:spacing w:line="240" w:lineRule="auto"/>
              <w:jc w:val="right"/>
            </w:pPr>
            <w:r w:rsidRPr="0088476F">
              <w:t>63</w:t>
            </w:r>
          </w:p>
        </w:tc>
        <w:tc>
          <w:tcPr>
            <w:tcW w:w="1417" w:type="dxa"/>
          </w:tcPr>
          <w:p w:rsidR="007A6AEF" w:rsidRPr="001A3859" w:rsidRDefault="007A6AEF" w:rsidP="007A6AEF">
            <w:pPr>
              <w:adjustRightInd/>
              <w:spacing w:line="240" w:lineRule="auto"/>
              <w:jc w:val="right"/>
              <w:rPr>
                <w:color w:val="FF0000"/>
              </w:rPr>
            </w:pPr>
            <w:r w:rsidRPr="001A3859">
              <w:rPr>
                <w:color w:val="FF0000"/>
              </w:rPr>
              <w:t>-28</w:t>
            </w:r>
          </w:p>
        </w:tc>
      </w:tr>
      <w:tr w:rsidR="007A6AEF" w:rsidTr="00684D13">
        <w:tc>
          <w:tcPr>
            <w:tcW w:w="2235" w:type="dxa"/>
          </w:tcPr>
          <w:p w:rsidR="007A6AEF" w:rsidRDefault="007A6AEF" w:rsidP="007A6AEF">
            <w:pPr>
              <w:adjustRightInd/>
              <w:spacing w:line="240" w:lineRule="auto"/>
              <w:rPr>
                <w:b/>
              </w:rPr>
            </w:pPr>
            <w:r>
              <w:rPr>
                <w:b/>
              </w:rPr>
              <w:t>Paar</w:t>
            </w:r>
          </w:p>
        </w:tc>
        <w:tc>
          <w:tcPr>
            <w:tcW w:w="1701" w:type="dxa"/>
          </w:tcPr>
          <w:p w:rsidR="007A6AEF" w:rsidRPr="0088476F" w:rsidRDefault="007A6AEF" w:rsidP="007A6AEF">
            <w:pPr>
              <w:adjustRightInd/>
              <w:spacing w:line="240" w:lineRule="auto"/>
              <w:jc w:val="right"/>
            </w:pPr>
            <w:r w:rsidRPr="0088476F">
              <w:rPr>
                <w:color w:val="FF0000"/>
              </w:rPr>
              <w:t>-26</w:t>
            </w:r>
          </w:p>
        </w:tc>
        <w:tc>
          <w:tcPr>
            <w:tcW w:w="1417" w:type="dxa"/>
          </w:tcPr>
          <w:p w:rsidR="007A6AEF" w:rsidRPr="0088476F" w:rsidRDefault="007A6AEF" w:rsidP="007A6AEF">
            <w:pPr>
              <w:adjustRightInd/>
              <w:spacing w:line="240" w:lineRule="auto"/>
              <w:jc w:val="right"/>
            </w:pPr>
            <w:r w:rsidRPr="0088476F">
              <w:t>3</w:t>
            </w:r>
          </w:p>
        </w:tc>
      </w:tr>
      <w:tr w:rsidR="007A6AEF" w:rsidTr="00684D13">
        <w:tc>
          <w:tcPr>
            <w:tcW w:w="2235" w:type="dxa"/>
          </w:tcPr>
          <w:p w:rsidR="007A6AEF" w:rsidRDefault="007A6AEF" w:rsidP="007A6AEF">
            <w:pPr>
              <w:adjustRightInd/>
              <w:spacing w:line="240" w:lineRule="auto"/>
              <w:rPr>
                <w:b/>
              </w:rPr>
            </w:pPr>
            <w:r>
              <w:rPr>
                <w:b/>
              </w:rPr>
              <w:t>Paar met 2 oudere kinderen</w:t>
            </w:r>
          </w:p>
        </w:tc>
        <w:tc>
          <w:tcPr>
            <w:tcW w:w="1701" w:type="dxa"/>
          </w:tcPr>
          <w:p w:rsidR="007A6AEF" w:rsidRPr="0088476F" w:rsidRDefault="007A6AEF" w:rsidP="007A6AEF">
            <w:pPr>
              <w:adjustRightInd/>
              <w:spacing w:line="240" w:lineRule="auto"/>
              <w:jc w:val="right"/>
            </w:pPr>
            <w:r w:rsidRPr="0088476F">
              <w:rPr>
                <w:color w:val="FF0000"/>
              </w:rPr>
              <w:t>-96</w:t>
            </w:r>
          </w:p>
        </w:tc>
        <w:tc>
          <w:tcPr>
            <w:tcW w:w="1417" w:type="dxa"/>
          </w:tcPr>
          <w:p w:rsidR="007A6AEF" w:rsidRPr="0088476F" w:rsidRDefault="007A6AEF" w:rsidP="007A6AEF">
            <w:pPr>
              <w:adjustRightInd/>
              <w:spacing w:line="240" w:lineRule="auto"/>
              <w:jc w:val="right"/>
            </w:pPr>
            <w:r w:rsidRPr="0088476F">
              <w:rPr>
                <w:color w:val="FF0000"/>
              </w:rPr>
              <w:t>-175</w:t>
            </w:r>
          </w:p>
        </w:tc>
      </w:tr>
      <w:tr w:rsidR="007A6AEF" w:rsidTr="00684D13">
        <w:tc>
          <w:tcPr>
            <w:tcW w:w="2235" w:type="dxa"/>
          </w:tcPr>
          <w:p w:rsidR="007A6AEF" w:rsidRDefault="007A6AEF" w:rsidP="007A6AEF">
            <w:pPr>
              <w:adjustRightInd/>
              <w:spacing w:line="240" w:lineRule="auto"/>
              <w:rPr>
                <w:b/>
              </w:rPr>
            </w:pPr>
            <w:r>
              <w:rPr>
                <w:b/>
              </w:rPr>
              <w:t>Alleenstaande zorgvraag</w:t>
            </w:r>
          </w:p>
        </w:tc>
        <w:tc>
          <w:tcPr>
            <w:tcW w:w="1701" w:type="dxa"/>
          </w:tcPr>
          <w:p w:rsidR="007A6AEF" w:rsidRPr="0088476F" w:rsidRDefault="007A6AEF" w:rsidP="007A6AEF">
            <w:pPr>
              <w:adjustRightInd/>
              <w:spacing w:line="240" w:lineRule="auto"/>
              <w:jc w:val="right"/>
            </w:pPr>
            <w:r w:rsidRPr="0088476F">
              <w:t>128</w:t>
            </w:r>
          </w:p>
        </w:tc>
        <w:tc>
          <w:tcPr>
            <w:tcW w:w="1417" w:type="dxa"/>
          </w:tcPr>
          <w:p w:rsidR="007A6AEF" w:rsidRPr="0088476F" w:rsidRDefault="007A6AEF" w:rsidP="007A6AEF">
            <w:pPr>
              <w:adjustRightInd/>
              <w:spacing w:line="240" w:lineRule="auto"/>
              <w:jc w:val="right"/>
            </w:pPr>
            <w:r w:rsidRPr="0088476F">
              <w:t>39</w:t>
            </w:r>
          </w:p>
        </w:tc>
      </w:tr>
      <w:tr w:rsidR="007A6AEF" w:rsidTr="00684D13">
        <w:tc>
          <w:tcPr>
            <w:tcW w:w="2235" w:type="dxa"/>
          </w:tcPr>
          <w:p w:rsidR="007A6AEF" w:rsidRDefault="007A6AEF" w:rsidP="007A6AEF">
            <w:pPr>
              <w:adjustRightInd/>
              <w:spacing w:line="240" w:lineRule="auto"/>
              <w:rPr>
                <w:b/>
              </w:rPr>
            </w:pPr>
            <w:r>
              <w:rPr>
                <w:b/>
              </w:rPr>
              <w:t>Alleenstaande oudere zorgvraag</w:t>
            </w:r>
          </w:p>
        </w:tc>
        <w:tc>
          <w:tcPr>
            <w:tcW w:w="1701" w:type="dxa"/>
          </w:tcPr>
          <w:p w:rsidR="007A6AEF" w:rsidRPr="0088476F" w:rsidRDefault="007A6AEF" w:rsidP="007A6AEF">
            <w:pPr>
              <w:adjustRightInd/>
              <w:spacing w:line="240" w:lineRule="auto"/>
              <w:jc w:val="right"/>
            </w:pPr>
            <w:r w:rsidRPr="0088476F">
              <w:t>197</w:t>
            </w:r>
          </w:p>
        </w:tc>
        <w:tc>
          <w:tcPr>
            <w:tcW w:w="1417" w:type="dxa"/>
          </w:tcPr>
          <w:p w:rsidR="007A6AEF" w:rsidRPr="0088476F" w:rsidRDefault="007A6AEF" w:rsidP="007A6AEF">
            <w:pPr>
              <w:adjustRightInd/>
              <w:spacing w:line="240" w:lineRule="auto"/>
              <w:jc w:val="right"/>
            </w:pPr>
            <w:r w:rsidRPr="0088476F">
              <w:t>134</w:t>
            </w:r>
          </w:p>
        </w:tc>
      </w:tr>
    </w:tbl>
    <w:p w:rsidR="007A6AEF" w:rsidRPr="00ED1D69" w:rsidRDefault="007A6AEF" w:rsidP="007A6AEF">
      <w:pPr>
        <w:ind w:left="720"/>
      </w:pPr>
    </w:p>
    <w:p w:rsidR="00684D13" w:rsidRDefault="00684D13" w:rsidP="00684D13">
      <w:r>
        <w:t xml:space="preserve">Op grond van de uitkomsten van de stadsgesprekken en de resultaten van de MER is het college van mening dat we het beschikbare budget gerichter kunnen inzetten. </w:t>
      </w:r>
    </w:p>
    <w:p w:rsidR="00351835" w:rsidRDefault="00351835" w:rsidP="00684D13"/>
    <w:p w:rsidR="0073792A" w:rsidRPr="0073792A" w:rsidRDefault="0073792A" w:rsidP="0073792A">
      <w:pPr>
        <w:pStyle w:val="Lijstalinea"/>
        <w:numPr>
          <w:ilvl w:val="0"/>
          <w:numId w:val="49"/>
        </w:numPr>
      </w:pPr>
      <w:r w:rsidRPr="0073792A">
        <w:rPr>
          <w:i/>
        </w:rPr>
        <w:t xml:space="preserve">Verhoging van het bedrag van de scholierenregeling van € 375 naar € 450 zorgt voor beperken van de tekorten bij huishoudens met oudere </w:t>
      </w:r>
      <w:r w:rsidR="00FA156D" w:rsidRPr="0073792A">
        <w:rPr>
          <w:i/>
        </w:rPr>
        <w:t xml:space="preserve">kinderen. </w:t>
      </w:r>
    </w:p>
    <w:p w:rsidR="0073792A" w:rsidRDefault="0073792A" w:rsidP="0073792A">
      <w:pPr>
        <w:pStyle w:val="Lijstalinea"/>
      </w:pPr>
    </w:p>
    <w:p w:rsidR="0073792A" w:rsidRDefault="0073792A" w:rsidP="0073792A">
      <w:r>
        <w:t xml:space="preserve">De grootste tekorten zien we bij huishoudens bestaande uit een paar en oudere kinderen. Voor brugklassers is het bedrag van de scholierenregeling al vastgesteld op € 450. Het onderzoek laat zien dat voor oudere scholieren van 14 en 16 jaar de kosten niet dalen. Het lagere bedrag van € 375 dekt niet tekorten. Daarom willen we voor elke scholier het bedrag op € 450 stellen. Bovendien draagt eenzelfde bedrag ongeacht in welke klas een scholier zit, bij aan de behoefte om regelingen eenvoudig en duidelijk te maken. </w:t>
      </w:r>
    </w:p>
    <w:p w:rsidR="0073792A" w:rsidRDefault="0073792A" w:rsidP="0073792A"/>
    <w:p w:rsidR="0073792A" w:rsidRPr="0029660D" w:rsidRDefault="0073792A" w:rsidP="0073792A">
      <w:pPr>
        <w:pStyle w:val="Lijstalinea"/>
        <w:numPr>
          <w:ilvl w:val="0"/>
          <w:numId w:val="49"/>
        </w:numPr>
      </w:pPr>
      <w:r w:rsidRPr="0029660D">
        <w:rPr>
          <w:i/>
        </w:rPr>
        <w:t>Alleenstaande ouders hebben, ook bij een langdurig laag inkomen, voldoende financiële ruimte om hun minimale basisuitgaven te voldoen.</w:t>
      </w:r>
      <w:r>
        <w:rPr>
          <w:i/>
        </w:rPr>
        <w:br/>
      </w:r>
    </w:p>
    <w:p w:rsidR="0073792A" w:rsidRDefault="0073792A" w:rsidP="0073792A">
      <w:r w:rsidRPr="005960F7">
        <w:t xml:space="preserve">Het rijk heeft het aantal kindregelingen hervormd en de alleenstaande ouder norm </w:t>
      </w:r>
      <w:r>
        <w:t xml:space="preserve">in de bijstand </w:t>
      </w:r>
      <w:r w:rsidRPr="005960F7">
        <w:t xml:space="preserve">laten vervallen. De MER laat </w:t>
      </w:r>
      <w:r>
        <w:t xml:space="preserve">zien dat </w:t>
      </w:r>
      <w:r w:rsidRPr="005960F7">
        <w:t xml:space="preserve">alleenstaande </w:t>
      </w:r>
      <w:r>
        <w:t xml:space="preserve">ouders een positief </w:t>
      </w:r>
      <w:r w:rsidR="00FA156D">
        <w:t xml:space="preserve">saldo </w:t>
      </w:r>
      <w:r>
        <w:t xml:space="preserve">hebben. De huidige individuele inkomenstoeslag voor deze groep is dus niet gericht op het beperken van </w:t>
      </w:r>
      <w:r w:rsidR="00FA156D">
        <w:t xml:space="preserve">tekorten. </w:t>
      </w:r>
      <w:r>
        <w:t xml:space="preserve">Door deze groep niet langer een inkomenstoeslag te verstrekken, kunnen we het bedrag dat daardoor vrijvalt gericht inzetten om tekorten bij andere groepen te beperken. Van alle andere gemeentelijke regelingen, inclusief de hierboven genoemde verhoging van de scholierenregeling, kunnen de alleenstaande ouders gebruik maken. </w:t>
      </w:r>
    </w:p>
    <w:p w:rsidR="0073792A" w:rsidRDefault="0073792A" w:rsidP="0073792A"/>
    <w:p w:rsidR="0029660D" w:rsidRDefault="0029660D" w:rsidP="0029660D"/>
    <w:p w:rsidR="00BA35CA" w:rsidRPr="0029660D" w:rsidRDefault="005960F7" w:rsidP="0073792A">
      <w:pPr>
        <w:pStyle w:val="Lijstalinea"/>
        <w:numPr>
          <w:ilvl w:val="0"/>
          <w:numId w:val="49"/>
        </w:numPr>
      </w:pPr>
      <w:r w:rsidRPr="0029660D">
        <w:rPr>
          <w:i/>
        </w:rPr>
        <w:t>Verlengi</w:t>
      </w:r>
      <w:r w:rsidR="002B4D4F" w:rsidRPr="0029660D">
        <w:rPr>
          <w:i/>
        </w:rPr>
        <w:t xml:space="preserve">ng van de participatieregeling draagt bij aan beperken van tekorten voor Zwolse </w:t>
      </w:r>
      <w:r w:rsidR="00B53A8F" w:rsidRPr="0029660D">
        <w:rPr>
          <w:i/>
        </w:rPr>
        <w:t>minimahuishoudens v</w:t>
      </w:r>
      <w:r w:rsidR="0002789F" w:rsidRPr="0029660D">
        <w:rPr>
          <w:i/>
        </w:rPr>
        <w:t>an een volwassene tussen 18 jaar en AOW</w:t>
      </w:r>
      <w:r w:rsidR="00B53A8F" w:rsidRPr="0029660D">
        <w:rPr>
          <w:i/>
        </w:rPr>
        <w:t xml:space="preserve"> gerechtige leeftijd e</w:t>
      </w:r>
      <w:r w:rsidR="002B4D4F" w:rsidRPr="0029660D">
        <w:rPr>
          <w:i/>
        </w:rPr>
        <w:t xml:space="preserve">n stelt deze inwoners in staat om mee te doen aan </w:t>
      </w:r>
      <w:r w:rsidR="00FA156D" w:rsidRPr="0029660D">
        <w:rPr>
          <w:i/>
        </w:rPr>
        <w:t xml:space="preserve">sociale </w:t>
      </w:r>
      <w:r w:rsidR="002B4D4F" w:rsidRPr="0029660D">
        <w:rPr>
          <w:i/>
        </w:rPr>
        <w:t xml:space="preserve">en culturele activiteiten. </w:t>
      </w:r>
    </w:p>
    <w:p w:rsidR="00B53A8F" w:rsidRDefault="00B53A8F" w:rsidP="00B53A8F"/>
    <w:p w:rsidR="0029660D" w:rsidRDefault="00B53A8F" w:rsidP="0029660D">
      <w:r>
        <w:t xml:space="preserve">Het grote bereik van deze regeling in korte tijd laat zien dat we de doelgroep bereiken en er behoefte is aan een tegemoetkoming voor sociale en culturele </w:t>
      </w:r>
      <w:r w:rsidR="00FA156D">
        <w:t xml:space="preserve">activiteiten. </w:t>
      </w:r>
      <w:r>
        <w:t xml:space="preserve">De MER laat zien dat </w:t>
      </w:r>
      <w:r w:rsidR="001A5911">
        <w:t xml:space="preserve">we deze regeling gerichter kunnen inzetten. De huishoudtypes met ouderen blijken voldoende financiële ruimte te bieden om kosten van participatie te kunnen voldoen. We richten deze maatrelen daarom in voor </w:t>
      </w:r>
      <w:r>
        <w:t>18</w:t>
      </w:r>
      <w:r w:rsidR="001A5911">
        <w:t xml:space="preserve"> jarigen </w:t>
      </w:r>
      <w:r w:rsidR="00FA156D">
        <w:t>tot AOW</w:t>
      </w:r>
      <w:r>
        <w:t xml:space="preserve"> gerechtige leeftijd</w:t>
      </w:r>
      <w:r w:rsidR="001A5911">
        <w:t xml:space="preserve">, omdat zijn </w:t>
      </w:r>
      <w:r w:rsidR="008C6A35">
        <w:t>de eerste drie jaar met een laag inkomen</w:t>
      </w:r>
      <w:r w:rsidR="005960F7">
        <w:t xml:space="preserve"> geen ruimte</w:t>
      </w:r>
      <w:r w:rsidR="001A5911">
        <w:t xml:space="preserve"> hebben </w:t>
      </w:r>
      <w:r>
        <w:t>in het huishoudplaatje</w:t>
      </w:r>
      <w:r w:rsidR="0073792A">
        <w:t xml:space="preserve"> om participatie te beko</w:t>
      </w:r>
      <w:r w:rsidR="008C6A35">
        <w:t xml:space="preserve">stigen. </w:t>
      </w:r>
      <w:r w:rsidR="005960F7">
        <w:t>Door de regelin</w:t>
      </w:r>
      <w:r w:rsidR="001A5911">
        <w:t>g te verlengen stellen we deze groep i</w:t>
      </w:r>
      <w:r w:rsidR="005960F7">
        <w:t xml:space="preserve">nwoners, ondanks een tekort op hun begroting, in staat om mee te kunnen doen in de samenleving. </w:t>
      </w:r>
    </w:p>
    <w:p w:rsidR="0029660D" w:rsidRDefault="0029660D" w:rsidP="0029660D"/>
    <w:p w:rsidR="0029660D" w:rsidRDefault="0029660D" w:rsidP="00201F65"/>
    <w:p w:rsidR="0029660D" w:rsidRDefault="0029660D" w:rsidP="0073792A">
      <w:pPr>
        <w:pStyle w:val="Lijstalinea"/>
        <w:numPr>
          <w:ilvl w:val="0"/>
          <w:numId w:val="49"/>
        </w:numPr>
        <w:rPr>
          <w:i/>
        </w:rPr>
      </w:pPr>
      <w:r w:rsidRPr="0073792A">
        <w:rPr>
          <w:i/>
        </w:rPr>
        <w:t xml:space="preserve">Huishoudens met een zorgvraag </w:t>
      </w:r>
      <w:r w:rsidR="002E423C">
        <w:rPr>
          <w:i/>
        </w:rPr>
        <w:t xml:space="preserve">worden door de collectieve </w:t>
      </w:r>
      <w:r w:rsidR="00FA156D">
        <w:rPr>
          <w:i/>
        </w:rPr>
        <w:t xml:space="preserve">zorgverzekering </w:t>
      </w:r>
      <w:r w:rsidR="002E423C">
        <w:rPr>
          <w:i/>
        </w:rPr>
        <w:t>en de hogere inkomensgrens voldoende ondersteund met als resultaat een positief saldo op het huishoudplaatje.</w:t>
      </w:r>
    </w:p>
    <w:p w:rsidR="002E423C" w:rsidRPr="0073792A" w:rsidRDefault="002E423C" w:rsidP="002E423C">
      <w:pPr>
        <w:pStyle w:val="Lijstalinea"/>
        <w:rPr>
          <w:i/>
        </w:rPr>
      </w:pPr>
    </w:p>
    <w:p w:rsidR="00521468" w:rsidRDefault="00521468" w:rsidP="0029660D">
      <w:r>
        <w:t xml:space="preserve">In het onderzoek is ook gekeken naar inkomsten en uitgaven van </w:t>
      </w:r>
      <w:r w:rsidR="0029660D">
        <w:t>huish</w:t>
      </w:r>
      <w:r>
        <w:t xml:space="preserve">ouden met een </w:t>
      </w:r>
      <w:r w:rsidR="0029660D">
        <w:t xml:space="preserve">zorgvraag meegenomen. </w:t>
      </w:r>
      <w:r w:rsidR="008E04B6">
        <w:t xml:space="preserve">We zien geen tekorten bij </w:t>
      </w:r>
      <w:r w:rsidR="002E423C">
        <w:t xml:space="preserve">de inkomensgrens van 130%, zelfs </w:t>
      </w:r>
      <w:r w:rsidR="008E04B6">
        <w:t>ruime positieve saldi van € 128 en € 197 per maand. Op</w:t>
      </w:r>
      <w:r w:rsidR="002E423C">
        <w:t xml:space="preserve"> grond van het onderzoek zou</w:t>
      </w:r>
      <w:r w:rsidR="008E04B6">
        <w:t xml:space="preserve"> de inkomensgrens voor chronisch zieken verlaagd kunnen worden</w:t>
      </w:r>
      <w:r w:rsidR="002E423C">
        <w:t xml:space="preserve"> naar </w:t>
      </w:r>
      <w:r w:rsidR="00FA156D">
        <w:t xml:space="preserve">110%. </w:t>
      </w:r>
      <w:r w:rsidR="008E04B6">
        <w:t>College heeft besloten om dit niet te doen. Het onderzoek gaat uit van één bepaalde zorgvraag. We weten echter dat er een grote verscheidenheid aan zorgvragen en daarmee gepaar</w:t>
      </w:r>
      <w:r w:rsidR="008E22BB">
        <w:t xml:space="preserve">d gaande kosten is. Als we rekening willen houden met deze variatie in kosten en tegelijkertijd willen zorgen dat niemand door zorgkosten onder de armoedegrens terecht komt, acht het college </w:t>
      </w:r>
      <w:r w:rsidR="00FA156D">
        <w:t xml:space="preserve">de </w:t>
      </w:r>
      <w:r w:rsidR="008E22BB">
        <w:t xml:space="preserve">grens van 130% wenselijk. </w:t>
      </w:r>
      <w:r w:rsidR="002E423C">
        <w:t xml:space="preserve">De verhoging van het bedrag van de tegemoetkoming in zorgkosten waartoe besloten is </w:t>
      </w:r>
      <w:r w:rsidR="00FA156D">
        <w:t xml:space="preserve">datum </w:t>
      </w:r>
      <w:r w:rsidR="002E423C">
        <w:t>vorig jaar is met deze resultaten ongericht te noemen. College heeft besloten deze verhoging toch niet per 1 november in te laten gaan. De effecten voor de doelgroep zullen beperkt zijn, omdat de verhoging weliswaar besloten was, maar pas vanaf november 2019 daadwerkelijk doorgevoerd zou worden.</w:t>
      </w:r>
      <w:r w:rsidR="008E22BB">
        <w:br/>
      </w:r>
    </w:p>
    <w:p w:rsidR="0029660D" w:rsidRDefault="008E22BB" w:rsidP="0029660D">
      <w:r>
        <w:t xml:space="preserve">Uit de stadsgesprekken </w:t>
      </w:r>
      <w:r w:rsidR="002E423C">
        <w:t xml:space="preserve">kwam ook naar voren dat de naam van de maatregel tot verwarring leidt. Doordat in de naamgeving over chronisch zieken wordt gesproken, voelt het verwarrend als er geen recht op de regeling blijkt te zijn, maar men wel degelijk een chronisch ziekte heeft. De regeling richt zich op meerkosten die samenhangen met een ziekte of beperking. In de stadsgesprekken werd geopperd om de regeling te duiden met tegemoetkoming voor zorgkosten. Dit voorstel neemt het college graag over. De verordening en de </w:t>
      </w:r>
      <w:r w:rsidR="00FA156D">
        <w:t xml:space="preserve">aanvraagformulieren </w:t>
      </w:r>
      <w:r w:rsidR="002E423C">
        <w:t xml:space="preserve">worden hierop aangepast. </w:t>
      </w:r>
    </w:p>
    <w:p w:rsidR="000038ED" w:rsidRPr="009D6B96" w:rsidRDefault="000038ED" w:rsidP="000038ED">
      <w:pPr>
        <w:spacing w:before="280"/>
        <w:rPr>
          <w:b/>
        </w:rPr>
      </w:pPr>
      <w:r w:rsidRPr="009D6B96">
        <w:rPr>
          <w:b/>
        </w:rPr>
        <w:t>Risico’s</w:t>
      </w:r>
    </w:p>
    <w:p w:rsidR="000038ED" w:rsidRDefault="00521468" w:rsidP="000038ED">
      <w:r>
        <w:t>De MER gaat uit van gemiddelde inkomsten en uitgaven. Voor een grote groep inwoners zullen deze bedragen vergelijkbaar zijn met hun werkelijke kos</w:t>
      </w:r>
      <w:r w:rsidR="002E423C">
        <w:t>ten, maar in incidentele gevall</w:t>
      </w:r>
      <w:r>
        <w:t xml:space="preserve">en zullen werkelijke kosten kunnen afwijken. Een beroep op bijzondere bijstand blijft mogelijk voor deze huishoudens als de kosten noodzakelijk en onvoorzien zijn. </w:t>
      </w:r>
      <w:r>
        <w:br/>
        <w:t>De ondersteuning voor inwoners met een laag inkomen en</w:t>
      </w:r>
      <w:r w:rsidR="002E423C">
        <w:t xml:space="preserve"> de uitgaven veranderen continu, bijvoorbeeld door </w:t>
      </w:r>
      <w:r w:rsidR="00FA156D">
        <w:t xml:space="preserve">belastingmaatregelen. </w:t>
      </w:r>
      <w:r>
        <w:t xml:space="preserve">Met de MER hebben we ons gebaseerd op de meest recente beschikbare gegevens. De situatie kan </w:t>
      </w:r>
      <w:r w:rsidR="002E423C">
        <w:t xml:space="preserve">voor minimahuishoudens </w:t>
      </w:r>
      <w:r>
        <w:t>de komende jaren wijzigen.</w:t>
      </w:r>
      <w:r w:rsidR="002E423C">
        <w:t xml:space="preserve"> </w:t>
      </w:r>
      <w:r w:rsidR="004534A3">
        <w:t xml:space="preserve">Bij grote wijzigingen zullen we een nieuwe minimarapportage uit laten voeren. </w:t>
      </w:r>
    </w:p>
    <w:p w:rsidR="00521468" w:rsidRDefault="004534A3" w:rsidP="000038ED">
      <w:r>
        <w:t>Een laats</w:t>
      </w:r>
      <w:r w:rsidR="00FA156D">
        <w:t>te risico betreft een financieel risico</w:t>
      </w:r>
      <w:r>
        <w:t xml:space="preserve">. </w:t>
      </w:r>
      <w:r w:rsidR="00521468">
        <w:t>De maatregelen</w:t>
      </w:r>
      <w:r w:rsidR="00FA156D">
        <w:t xml:space="preserve"> betreffen openeinderegelingen, de begroting is gebaseerd op huidig gebruik. </w:t>
      </w:r>
    </w:p>
    <w:p w:rsidR="000038ED" w:rsidRPr="009D6B96" w:rsidRDefault="000038ED" w:rsidP="000038ED">
      <w:pPr>
        <w:spacing w:before="280"/>
        <w:rPr>
          <w:b/>
        </w:rPr>
      </w:pPr>
      <w:r w:rsidRPr="009D6B96">
        <w:rPr>
          <w:b/>
        </w:rPr>
        <w:t>Financiën</w:t>
      </w:r>
    </w:p>
    <w:p w:rsidR="004534A3" w:rsidRDefault="004534A3" w:rsidP="004534A3">
      <w:r>
        <w:t xml:space="preserve">De maatregelen worden binnen het programma budgetneutraal doorgevoerd. </w:t>
      </w:r>
      <w:r>
        <w:br/>
        <w:t xml:space="preserve">Begrotingswijziging zullen conform de doelen waartoe de maatregelen behoren worden doorgevoerd. </w:t>
      </w:r>
    </w:p>
    <w:p w:rsidR="00516CC3" w:rsidRDefault="00516CC3" w:rsidP="000038ED">
      <w:r>
        <w:t xml:space="preserve">Verlening van de participatieregeling  </w:t>
      </w:r>
      <w:r w:rsidR="001A5911">
        <w:t>ko</w:t>
      </w:r>
      <w:r>
        <w:t>st € 300.000.</w:t>
      </w:r>
    </w:p>
    <w:p w:rsidR="001A5911" w:rsidRDefault="00516CC3" w:rsidP="000038ED">
      <w:r>
        <w:t>Besparing individuele inkomenstoeslag</w:t>
      </w:r>
      <w:r w:rsidR="00521468">
        <w:t xml:space="preserve"> </w:t>
      </w:r>
      <w:r>
        <w:t xml:space="preserve"> bedraagt</w:t>
      </w:r>
      <w:r w:rsidR="00521468">
        <w:t xml:space="preserve"> </w:t>
      </w:r>
      <w:r>
        <w:t>€ 200.000</w:t>
      </w:r>
      <w:r w:rsidR="00521468">
        <w:t xml:space="preserve">. </w:t>
      </w:r>
    </w:p>
    <w:p w:rsidR="00516CC3" w:rsidRDefault="00521468" w:rsidP="000038ED">
      <w:r>
        <w:t xml:space="preserve">Besparing tegemoetkoming zorgkosten bedraagt </w:t>
      </w:r>
      <w:r w:rsidR="00516CC3">
        <w:t>€ 150.000</w:t>
      </w:r>
      <w:r>
        <w:t xml:space="preserve">. </w:t>
      </w:r>
    </w:p>
    <w:p w:rsidR="00516CC3" w:rsidRDefault="00FA156D" w:rsidP="000038ED">
      <w:r>
        <w:t>Benodigd voor verhoging scholierenregeling € 50.000</w:t>
      </w:r>
    </w:p>
    <w:p w:rsidR="000038ED" w:rsidRPr="009D6B96" w:rsidRDefault="000038ED" w:rsidP="000038ED">
      <w:pPr>
        <w:spacing w:before="280"/>
        <w:rPr>
          <w:b/>
        </w:rPr>
      </w:pPr>
      <w:r w:rsidRPr="009D6B96">
        <w:rPr>
          <w:b/>
        </w:rPr>
        <w:t>Communicatie</w:t>
      </w:r>
    </w:p>
    <w:p w:rsidR="000038ED" w:rsidRDefault="00516CC3" w:rsidP="000038ED">
      <w:r>
        <w:lastRenderedPageBreak/>
        <w:t xml:space="preserve">Het voorstel is besproken met de participatieraad. Hun advies en de reactie van het college hierop is in de bijlage te vinden. </w:t>
      </w:r>
    </w:p>
    <w:p w:rsidR="000038ED" w:rsidRPr="001B0AA0" w:rsidRDefault="001A5911" w:rsidP="000038ED">
      <w:r>
        <w:t xml:space="preserve">De nieuwe maatregelen zullen op gebruikelijke wijze via websites, professionals, inloopspreekuren, vrijwilligers en waar mogelijk persoonlijke brieven bekend gemaakt worden. </w:t>
      </w:r>
    </w:p>
    <w:p w:rsidR="000038ED" w:rsidRPr="009D6B96" w:rsidRDefault="000038ED" w:rsidP="000038ED">
      <w:pPr>
        <w:spacing w:before="280"/>
        <w:rPr>
          <w:b/>
        </w:rPr>
      </w:pPr>
      <w:r w:rsidRPr="009D6B96">
        <w:rPr>
          <w:b/>
        </w:rPr>
        <w:t>Vervolg</w:t>
      </w:r>
    </w:p>
    <w:p w:rsidR="001A5911" w:rsidRDefault="00516CC3" w:rsidP="000038ED">
      <w:r>
        <w:t xml:space="preserve">Conform de motie zal in een nieuwe MER worden uitgevoerd door een volgend college. </w:t>
      </w:r>
    </w:p>
    <w:p w:rsidR="000038ED" w:rsidRDefault="00516CC3" w:rsidP="000038ED">
      <w:r>
        <w:t xml:space="preserve">Een nieuwe armoedemonitor 2019 zal met de najaarsstukken 2018 aan uw raad worden aangeboden. </w:t>
      </w:r>
    </w:p>
    <w:p w:rsidR="001A5911" w:rsidRDefault="001A5911" w:rsidP="000038ED">
      <w:r>
        <w:t>Via de beleidscyclus zal uw raad geïnformeerd worden over bereikte aantallen en financiën.</w:t>
      </w:r>
    </w:p>
    <w:p w:rsidR="001A5911" w:rsidRPr="00CB6E15" w:rsidRDefault="001A5911" w:rsidP="000038ED"/>
    <w:p w:rsidR="000038ED" w:rsidRPr="009D6B96" w:rsidRDefault="000038ED" w:rsidP="000038ED">
      <w:pPr>
        <w:spacing w:before="280"/>
        <w:rPr>
          <w:b/>
        </w:rPr>
      </w:pPr>
      <w:r w:rsidRPr="009D6B96">
        <w:rPr>
          <w:b/>
        </w:rPr>
        <w:t>Openbaarheid</w:t>
      </w:r>
    </w:p>
    <w:p w:rsidR="000038ED" w:rsidRPr="00CB6E15" w:rsidRDefault="00516CC3" w:rsidP="000038ED">
      <w:r>
        <w:t>Deze nota is open</w:t>
      </w:r>
      <w:r w:rsidR="000038ED">
        <w:t>baar</w:t>
      </w:r>
      <w:r>
        <w:t>.</w:t>
      </w:r>
    </w:p>
    <w:p w:rsidR="000038ED" w:rsidRPr="001E478A" w:rsidRDefault="000038ED" w:rsidP="000038ED"/>
    <w:tbl>
      <w:tblPr>
        <w:tblW w:w="0" w:type="auto"/>
        <w:tblInd w:w="-8" w:type="dxa"/>
        <w:tblCellMar>
          <w:left w:w="0" w:type="dxa"/>
          <w:right w:w="0" w:type="dxa"/>
        </w:tblCellMar>
        <w:tblLook w:val="0000" w:firstRow="0" w:lastRow="0" w:firstColumn="0" w:lastColumn="0" w:noHBand="0" w:noVBand="0"/>
      </w:tblPr>
      <w:tblGrid>
        <w:gridCol w:w="7800"/>
      </w:tblGrid>
      <w:tr w:rsidR="000038ED" w:rsidRPr="00C32ADD" w:rsidTr="00482E86">
        <w:tc>
          <w:tcPr>
            <w:tcW w:w="7800" w:type="dxa"/>
          </w:tcPr>
          <w:p w:rsidR="000038ED" w:rsidRPr="00CD661A" w:rsidRDefault="000038ED" w:rsidP="00482E86">
            <w:pPr>
              <w:rPr>
                <w:szCs w:val="18"/>
              </w:rPr>
            </w:pPr>
            <w:r w:rsidRPr="00CD661A">
              <w:rPr>
                <w:szCs w:val="18"/>
              </w:rPr>
              <w:t>Burgemeester en Wethouders van Zwolle,</w:t>
            </w:r>
          </w:p>
        </w:tc>
      </w:tr>
      <w:tr w:rsidR="000038ED" w:rsidRPr="00C32ADD" w:rsidTr="00482E86">
        <w:tc>
          <w:tcPr>
            <w:tcW w:w="7800" w:type="dxa"/>
          </w:tcPr>
          <w:p w:rsidR="000038ED" w:rsidRPr="00CD661A" w:rsidRDefault="000038ED" w:rsidP="000038ED">
            <w:pPr>
              <w:rPr>
                <w:szCs w:val="18"/>
              </w:rPr>
            </w:pPr>
          </w:p>
          <w:p w:rsidR="000038ED" w:rsidRPr="00CD661A" w:rsidRDefault="000038ED" w:rsidP="000038ED">
            <w:pPr>
              <w:rPr>
                <w:szCs w:val="18"/>
              </w:rPr>
            </w:pPr>
          </w:p>
          <w:p w:rsidR="000038ED" w:rsidRPr="00CD661A" w:rsidRDefault="000038ED" w:rsidP="000038ED">
            <w:pPr>
              <w:rPr>
                <w:szCs w:val="18"/>
              </w:rPr>
            </w:pPr>
          </w:p>
          <w:p w:rsidR="000038ED" w:rsidRPr="00CD661A" w:rsidRDefault="000038ED" w:rsidP="000038ED">
            <w:pPr>
              <w:rPr>
                <w:szCs w:val="18"/>
              </w:rPr>
            </w:pPr>
          </w:p>
        </w:tc>
      </w:tr>
      <w:tr w:rsidR="000038ED" w:rsidRPr="00C32ADD" w:rsidTr="00482E86">
        <w:tc>
          <w:tcPr>
            <w:tcW w:w="7800" w:type="dxa"/>
          </w:tcPr>
          <w:p w:rsidR="000038ED" w:rsidRPr="00CD661A" w:rsidRDefault="000038ED" w:rsidP="000038ED">
            <w:pPr>
              <w:rPr>
                <w:szCs w:val="18"/>
              </w:rPr>
            </w:pPr>
            <w:r>
              <w:rPr>
                <w:szCs w:val="18"/>
              </w:rPr>
              <w:t xml:space="preserve">de heer </w:t>
            </w:r>
            <w:r w:rsidRPr="00B459E0">
              <w:rPr>
                <w:szCs w:val="18"/>
              </w:rPr>
              <w:t>drs. H.J. Meijer</w:t>
            </w:r>
            <w:r>
              <w:rPr>
                <w:szCs w:val="18"/>
              </w:rPr>
              <w:t>, burgemeester</w:t>
            </w:r>
          </w:p>
        </w:tc>
      </w:tr>
      <w:tr w:rsidR="000038ED" w:rsidRPr="00C32ADD" w:rsidTr="00482E86">
        <w:tc>
          <w:tcPr>
            <w:tcW w:w="7800" w:type="dxa"/>
          </w:tcPr>
          <w:p w:rsidR="000038ED" w:rsidRPr="00CD661A" w:rsidRDefault="000038ED" w:rsidP="000038ED">
            <w:pPr>
              <w:rPr>
                <w:szCs w:val="18"/>
              </w:rPr>
            </w:pPr>
          </w:p>
          <w:p w:rsidR="000038ED" w:rsidRPr="00CD661A" w:rsidRDefault="000038ED" w:rsidP="000038ED">
            <w:pPr>
              <w:rPr>
                <w:szCs w:val="18"/>
              </w:rPr>
            </w:pPr>
          </w:p>
          <w:p w:rsidR="000038ED" w:rsidRPr="00CD661A" w:rsidRDefault="000038ED" w:rsidP="000038ED">
            <w:pPr>
              <w:rPr>
                <w:szCs w:val="18"/>
              </w:rPr>
            </w:pPr>
          </w:p>
          <w:p w:rsidR="000038ED" w:rsidRPr="00CD661A" w:rsidRDefault="000038ED" w:rsidP="000038ED">
            <w:pPr>
              <w:rPr>
                <w:szCs w:val="18"/>
              </w:rPr>
            </w:pPr>
          </w:p>
        </w:tc>
      </w:tr>
      <w:tr w:rsidR="000038ED" w:rsidRPr="00C32ADD" w:rsidTr="00482E86">
        <w:tc>
          <w:tcPr>
            <w:tcW w:w="7800" w:type="dxa"/>
          </w:tcPr>
          <w:p w:rsidR="000038ED" w:rsidRPr="00CD661A" w:rsidRDefault="000038ED" w:rsidP="000038ED">
            <w:pPr>
              <w:rPr>
                <w:szCs w:val="18"/>
              </w:rPr>
            </w:pPr>
            <w:r>
              <w:t>mevrouw mr. I. Geveke, secretaris</w:t>
            </w:r>
          </w:p>
        </w:tc>
      </w:tr>
    </w:tbl>
    <w:p w:rsidR="00733B48" w:rsidRPr="002469D8" w:rsidRDefault="00733B48" w:rsidP="000038ED"/>
    <w:sectPr w:rsidR="00733B48" w:rsidRPr="002469D8" w:rsidSect="00396F6C">
      <w:headerReference w:type="default" r:id="rId7"/>
      <w:footerReference w:type="default" r:id="rId8"/>
      <w:headerReference w:type="first" r:id="rId9"/>
      <w:footerReference w:type="first" r:id="rId10"/>
      <w:pgSz w:w="11906" w:h="16838" w:code="9"/>
      <w:pgMar w:top="2240" w:right="1508" w:bottom="879" w:left="1259"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E5" w:rsidRDefault="00896DE5">
      <w:r>
        <w:separator/>
      </w:r>
    </w:p>
  </w:endnote>
  <w:endnote w:type="continuationSeparator" w:id="0">
    <w:p w:rsidR="00896DE5" w:rsidRDefault="008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6D" w:rsidRDefault="00FA156D" w:rsidP="00396F6C">
    <w:pPr>
      <w:pStyle w:val="Huisstijl-Nummering"/>
    </w:pPr>
    <w:r>
      <w:rPr>
        <w:rStyle w:val="Paginanummer"/>
      </w:rPr>
      <w:fldChar w:fldCharType="begin"/>
    </w:r>
    <w:r>
      <w:rPr>
        <w:rStyle w:val="Paginanummer"/>
      </w:rPr>
      <w:instrText xml:space="preserve"> PAGE </w:instrText>
    </w:r>
    <w:r>
      <w:rPr>
        <w:rStyle w:val="Paginanummer"/>
      </w:rPr>
      <w:fldChar w:fldCharType="separate"/>
    </w:r>
    <w:r w:rsidR="004D446B">
      <w:rPr>
        <w:rStyle w:val="Paginanummer"/>
      </w:rPr>
      <w:t>6</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4D446B">
      <w:rPr>
        <w:rStyle w:val="Paginanummer"/>
      </w:rPr>
      <w:t>7</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6D" w:rsidRDefault="00FA156D" w:rsidP="00396F6C">
    <w:pPr>
      <w:pStyle w:val="Huisstijl-Nummering"/>
    </w:pPr>
    <w:r>
      <w:rPr>
        <w:rStyle w:val="Paginanummer"/>
      </w:rPr>
      <w:fldChar w:fldCharType="begin"/>
    </w:r>
    <w:r>
      <w:rPr>
        <w:rStyle w:val="Paginanummer"/>
      </w:rPr>
      <w:instrText xml:space="preserve"> PAGE </w:instrText>
    </w:r>
    <w:r>
      <w:rPr>
        <w:rStyle w:val="Paginanummer"/>
      </w:rPr>
      <w:fldChar w:fldCharType="separate"/>
    </w:r>
    <w:r w:rsidR="004D446B">
      <w:rPr>
        <w:rStyle w:val="Paginanummer"/>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4D446B">
      <w:rPr>
        <w:rStyle w:val="Paginanummer"/>
      </w:rPr>
      <w:t>7</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E5" w:rsidRDefault="00896DE5">
      <w:r>
        <w:separator/>
      </w:r>
    </w:p>
  </w:footnote>
  <w:footnote w:type="continuationSeparator" w:id="0">
    <w:p w:rsidR="00896DE5" w:rsidRDefault="0089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mDummyAantalPag2"/>
  <w:p w:rsidR="00FA156D" w:rsidRPr="00FB5A30" w:rsidRDefault="00FA156D">
    <w:pPr>
      <w:pStyle w:val="Koptekst"/>
      <w:rPr>
        <w:color w:val="FFFFFF"/>
        <w:sz w:val="2"/>
      </w:rPr>
    </w:pPr>
    <w:r w:rsidRPr="00FB5A30">
      <w:rPr>
        <w:color w:val="FFFFFF"/>
        <w:sz w:val="2"/>
      </w:rPr>
      <w:fldChar w:fldCharType="begin"/>
    </w:r>
    <w:r w:rsidRPr="00FB5A30">
      <w:rPr>
        <w:color w:val="FFFFFF"/>
        <w:sz w:val="2"/>
      </w:rPr>
      <w:instrText xml:space="preserve"> NUMPAGES  \* MERGEFORMAT </w:instrText>
    </w:r>
    <w:r w:rsidRPr="00FB5A30">
      <w:rPr>
        <w:color w:val="FFFFFF"/>
        <w:sz w:val="2"/>
      </w:rPr>
      <w:fldChar w:fldCharType="separate"/>
    </w:r>
    <w:r w:rsidR="004D446B">
      <w:rPr>
        <w:noProof/>
        <w:color w:val="FFFFFF"/>
        <w:sz w:val="2"/>
      </w:rPr>
      <w:t>7</w:t>
    </w:r>
    <w:r w:rsidRPr="00FB5A30">
      <w:rPr>
        <w:color w:val="FFFFFF"/>
        <w:sz w:val="2"/>
      </w:rPr>
      <w:fldChar w:fldCharType="end"/>
    </w:r>
  </w:p>
  <w:bookmarkEnd w:id="1"/>
  <w:p w:rsidR="00FA156D" w:rsidRDefault="00FA156D">
    <w:pPr>
      <w:pStyle w:val="Koptekst"/>
    </w:pPr>
  </w:p>
  <w:tbl>
    <w:tblPr>
      <w:tblpPr w:leftFromText="142" w:rightFromText="142" w:vertAnchor="page" w:horzAnchor="page" w:tblpX="1282" w:tblpY="795"/>
      <w:tblW w:w="0" w:type="auto"/>
      <w:tblLayout w:type="fixed"/>
      <w:tblCellMar>
        <w:left w:w="0" w:type="dxa"/>
        <w:right w:w="0" w:type="dxa"/>
      </w:tblCellMar>
      <w:tblLook w:val="0000" w:firstRow="0" w:lastRow="0" w:firstColumn="0" w:lastColumn="0" w:noHBand="0" w:noVBand="0"/>
    </w:tblPr>
    <w:tblGrid>
      <w:gridCol w:w="8240"/>
    </w:tblGrid>
    <w:tr w:rsidR="00FA156D" w:rsidTr="00A87735">
      <w:trPr>
        <w:trHeight w:hRule="exact" w:val="280"/>
      </w:trPr>
      <w:tc>
        <w:tcPr>
          <w:tcW w:w="8240" w:type="dxa"/>
        </w:tcPr>
        <w:p w:rsidR="00FA156D" w:rsidRDefault="00FA156D" w:rsidP="00A87735">
          <w:pPr>
            <w:pStyle w:val="Huisstijl-Dialoog"/>
            <w:rPr>
              <w:noProof w:val="0"/>
            </w:rPr>
          </w:pPr>
          <w:bookmarkStart w:id="2" w:name="bmKopRegel2" w:colFirst="0" w:colLast="0"/>
          <w:r>
            <w:rPr>
              <w:noProof w:val="0"/>
            </w:rPr>
            <w:t>voorstel</w:t>
          </w:r>
        </w:p>
      </w:tc>
    </w:tr>
  </w:tbl>
  <w:bookmarkEnd w:id="2"/>
  <w:p w:rsidR="00FA156D" w:rsidRDefault="00FA156D" w:rsidP="000038ED">
    <w:r>
      <w:rPr>
        <w:noProof/>
      </w:rPr>
      <w:drawing>
        <wp:anchor distT="0" distB="0" distL="114300" distR="114300" simplePos="0" relativeHeight="251656192" behindDoc="0" locked="0" layoutInCell="0" allowOverlap="1" wp14:anchorId="14AC1E9F" wp14:editId="2A1F73AF">
          <wp:simplePos x="0" y="0"/>
          <wp:positionH relativeFrom="page">
            <wp:posOffset>439420</wp:posOffset>
          </wp:positionH>
          <wp:positionV relativeFrom="page">
            <wp:posOffset>410210</wp:posOffset>
          </wp:positionV>
          <wp:extent cx="295275" cy="276225"/>
          <wp:effectExtent l="0" t="0" r="9525" b="9525"/>
          <wp:wrapNone/>
          <wp:docPr id="1" name="Afbeelding 1" descr="Handje gemeente Zwolle, 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je gemeente Zwolle, zwart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13A5C3B7" wp14:editId="5951ED5D">
          <wp:simplePos x="0" y="0"/>
          <wp:positionH relativeFrom="page">
            <wp:posOffset>6379845</wp:posOffset>
          </wp:positionH>
          <wp:positionV relativeFrom="page">
            <wp:posOffset>172720</wp:posOffset>
          </wp:positionV>
          <wp:extent cx="866775" cy="866775"/>
          <wp:effectExtent l="0" t="0" r="9525" b="9525"/>
          <wp:wrapNone/>
          <wp:docPr id="2" name="Afbeelding 2" descr="Logo gemeente Zwolle, 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meente Zwolle, zwartw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56D" w:rsidRDefault="00FA156D"/>
  <w:p w:rsidR="00FA156D" w:rsidRDefault="00FA156D"/>
  <w:p w:rsidR="00FA156D" w:rsidRDefault="00FA156D"/>
  <w:p w:rsidR="00FA156D" w:rsidRDefault="00FA156D">
    <w:pPr>
      <w:pStyle w:val="Koptekst"/>
    </w:pPr>
  </w:p>
  <w:tbl>
    <w:tblPr>
      <w:tblW w:w="0" w:type="auto"/>
      <w:tblLayout w:type="fixed"/>
      <w:tblCellMar>
        <w:left w:w="0" w:type="dxa"/>
        <w:right w:w="0" w:type="dxa"/>
      </w:tblCellMar>
      <w:tblLook w:val="0000" w:firstRow="0" w:lastRow="0" w:firstColumn="0" w:lastColumn="0" w:noHBand="0" w:noVBand="0"/>
    </w:tblPr>
    <w:tblGrid>
      <w:gridCol w:w="1155"/>
      <w:gridCol w:w="7133"/>
    </w:tblGrid>
    <w:tr w:rsidR="00FA156D" w:rsidTr="00A859F6">
      <w:trPr>
        <w:trHeight w:val="280"/>
      </w:trPr>
      <w:tc>
        <w:tcPr>
          <w:tcW w:w="1155" w:type="dxa"/>
        </w:tcPr>
        <w:p w:rsidR="00FA156D" w:rsidRPr="00EF6BED" w:rsidRDefault="00FA156D" w:rsidP="00A859F6">
          <w:pPr>
            <w:tabs>
              <w:tab w:val="left" w:pos="1316"/>
            </w:tabs>
            <w:ind w:left="1316" w:hanging="1316"/>
            <w:rPr>
              <w:rStyle w:val="Huisstijl-ReferentieGegevens"/>
              <w:noProof w:val="0"/>
            </w:rPr>
          </w:pPr>
          <w:r w:rsidRPr="00EF6BED">
            <w:rPr>
              <w:rStyle w:val="Huisstijl-ReferentieKopje"/>
              <w:noProof w:val="0"/>
            </w:rPr>
            <w:t>Datum</w:t>
          </w:r>
        </w:p>
      </w:tc>
      <w:tc>
        <w:tcPr>
          <w:tcW w:w="7133" w:type="dxa"/>
        </w:tcPr>
        <w:p w:rsidR="00FA156D" w:rsidRPr="00EF6BED" w:rsidRDefault="00FA156D" w:rsidP="00A859F6">
          <w:pPr>
            <w:rPr>
              <w:rStyle w:val="Huisstijl-ReferentieGegevens"/>
              <w:noProof w:val="0"/>
            </w:rPr>
          </w:pPr>
          <w:r>
            <w:rPr>
              <w:rStyle w:val="Huisstijl-ReferentieGegevens"/>
              <w:noProof w:val="0"/>
            </w:rPr>
            <w:t>19 maart 2019</w:t>
          </w:r>
        </w:p>
      </w:tc>
    </w:tr>
  </w:tbl>
  <w:p w:rsidR="00FA156D" w:rsidRDefault="00FA156D" w:rsidP="00ED1E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bmDummyAantalPag1"/>
  <w:p w:rsidR="00FA156D" w:rsidRPr="00FB5A30" w:rsidRDefault="00FA156D">
    <w:pPr>
      <w:rPr>
        <w:color w:val="FFFFFF"/>
        <w:sz w:val="2"/>
      </w:rPr>
    </w:pPr>
    <w:r w:rsidRPr="00FB5A30">
      <w:rPr>
        <w:color w:val="FFFFFF"/>
        <w:sz w:val="2"/>
      </w:rPr>
      <w:fldChar w:fldCharType="begin"/>
    </w:r>
    <w:r w:rsidRPr="00FB5A30">
      <w:rPr>
        <w:color w:val="FFFFFF"/>
        <w:sz w:val="2"/>
      </w:rPr>
      <w:instrText xml:space="preserve"> NUMPAGES  \* MERGEFORMAT </w:instrText>
    </w:r>
    <w:r w:rsidRPr="00FB5A30">
      <w:rPr>
        <w:color w:val="FFFFFF"/>
        <w:sz w:val="2"/>
      </w:rPr>
      <w:fldChar w:fldCharType="separate"/>
    </w:r>
    <w:r w:rsidR="004D446B">
      <w:rPr>
        <w:noProof/>
        <w:color w:val="FFFFFF"/>
        <w:sz w:val="2"/>
      </w:rPr>
      <w:t>7</w:t>
    </w:r>
    <w:r w:rsidRPr="00FB5A30">
      <w:rPr>
        <w:color w:val="FFFFFF"/>
        <w:sz w:val="2"/>
      </w:rPr>
      <w:fldChar w:fldCharType="end"/>
    </w:r>
  </w:p>
  <w:bookmarkEnd w:id="3"/>
  <w:p w:rsidR="00FA156D" w:rsidRDefault="00FA156D" w:rsidP="000038ED">
    <w:r>
      <w:rPr>
        <w:noProof/>
      </w:rPr>
      <w:drawing>
        <wp:anchor distT="0" distB="0" distL="114300" distR="114300" simplePos="0" relativeHeight="251658240" behindDoc="0" locked="0" layoutInCell="0" allowOverlap="1" wp14:anchorId="261F84BF" wp14:editId="22345FE4">
          <wp:simplePos x="0" y="0"/>
          <wp:positionH relativeFrom="page">
            <wp:posOffset>439420</wp:posOffset>
          </wp:positionH>
          <wp:positionV relativeFrom="page">
            <wp:posOffset>410210</wp:posOffset>
          </wp:positionV>
          <wp:extent cx="295275" cy="276225"/>
          <wp:effectExtent l="0" t="0" r="9525" b="9525"/>
          <wp:wrapNone/>
          <wp:docPr id="3" name="Afbeelding 3" descr="Handje gemeente Zwolle, 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je gemeente Zwolle, zwart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4E4F72C3" wp14:editId="58F280E0">
          <wp:simplePos x="0" y="0"/>
          <wp:positionH relativeFrom="page">
            <wp:posOffset>6379845</wp:posOffset>
          </wp:positionH>
          <wp:positionV relativeFrom="page">
            <wp:posOffset>172720</wp:posOffset>
          </wp:positionV>
          <wp:extent cx="866775" cy="866775"/>
          <wp:effectExtent l="0" t="0" r="9525" b="9525"/>
          <wp:wrapNone/>
          <wp:docPr id="4" name="Afbeelding 4" descr="Logo gemeente Zwolle, 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emeente Zwolle, zwartw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1282" w:tblpY="795"/>
      <w:tblW w:w="0" w:type="auto"/>
      <w:tblLayout w:type="fixed"/>
      <w:tblCellMar>
        <w:left w:w="0" w:type="dxa"/>
        <w:right w:w="0" w:type="dxa"/>
      </w:tblCellMar>
      <w:tblLook w:val="0000" w:firstRow="0" w:lastRow="0" w:firstColumn="0" w:lastColumn="0" w:noHBand="0" w:noVBand="0"/>
    </w:tblPr>
    <w:tblGrid>
      <w:gridCol w:w="8240"/>
    </w:tblGrid>
    <w:tr w:rsidR="00FA156D" w:rsidTr="00A87735">
      <w:trPr>
        <w:trHeight w:hRule="exact" w:val="280"/>
      </w:trPr>
      <w:tc>
        <w:tcPr>
          <w:tcW w:w="8240" w:type="dxa"/>
        </w:tcPr>
        <w:p w:rsidR="00FA156D" w:rsidRDefault="00FA156D" w:rsidP="00A87735">
          <w:pPr>
            <w:pStyle w:val="Huisstijl-Dialoog"/>
            <w:spacing w:line="280" w:lineRule="exact"/>
            <w:rPr>
              <w:noProof w:val="0"/>
            </w:rPr>
          </w:pPr>
          <w:bookmarkStart w:id="4" w:name="bmKopRegel1" w:colFirst="0" w:colLast="0"/>
          <w:r w:rsidRPr="009B5F68">
            <w:rPr>
              <w:noProof w:val="0"/>
              <w:lang w:eastAsia="en-US"/>
            </w:rPr>
            <w:t>voorstel</w:t>
          </w:r>
        </w:p>
      </w:tc>
    </w:tr>
    <w:bookmarkEnd w:id="4"/>
  </w:tbl>
  <w:p w:rsidR="00FA156D" w:rsidRDefault="00FA156D"/>
  <w:p w:rsidR="00FA156D" w:rsidRDefault="00FA156D" w:rsidP="009B5F68">
    <w:pPr>
      <w:pStyle w:val="Huisstijl-Dialoog"/>
      <w:rPr>
        <w:noProof w:val="0"/>
      </w:rPr>
    </w:pPr>
  </w:p>
  <w:p w:rsidR="00FA156D" w:rsidRDefault="00FA156D"/>
  <w:p w:rsidR="00FA156D" w:rsidRDefault="00FA156D"/>
  <w:tbl>
    <w:tblPr>
      <w:tblW w:w="0" w:type="auto"/>
      <w:tblLayout w:type="fixed"/>
      <w:tblCellMar>
        <w:left w:w="0" w:type="dxa"/>
        <w:right w:w="0" w:type="dxa"/>
      </w:tblCellMar>
      <w:tblLook w:val="0000" w:firstRow="0" w:lastRow="0" w:firstColumn="0" w:lastColumn="0" w:noHBand="0" w:noVBand="0"/>
    </w:tblPr>
    <w:tblGrid>
      <w:gridCol w:w="8288"/>
    </w:tblGrid>
    <w:tr w:rsidR="00FA156D" w:rsidTr="00ED1EDF">
      <w:trPr>
        <w:trHeight w:hRule="exact" w:val="280"/>
      </w:trPr>
      <w:tc>
        <w:tcPr>
          <w:tcW w:w="8288" w:type="dxa"/>
        </w:tcPr>
        <w:p w:rsidR="00FA156D" w:rsidRDefault="00FA156D">
          <w:pPr>
            <w:pStyle w:val="Huisstijl-SjabloonNaam"/>
            <w:rPr>
              <w:noProof w:val="0"/>
            </w:rPr>
          </w:pPr>
          <w:bookmarkStart w:id="5" w:name="bmSjabloonNaam1" w:colFirst="0" w:colLast="0"/>
          <w:r>
            <w:rPr>
              <w:noProof w:val="0"/>
            </w:rPr>
            <w:t>Beslisnota voor de raad</w:t>
          </w:r>
        </w:p>
      </w:tc>
    </w:tr>
    <w:bookmarkEnd w:id="5"/>
  </w:tbl>
  <w:p w:rsidR="00FA156D" w:rsidRDefault="00FA156D"/>
  <w:tbl>
    <w:tblPr>
      <w:tblW w:w="0" w:type="auto"/>
      <w:tblLayout w:type="fixed"/>
      <w:tblCellMar>
        <w:left w:w="0" w:type="dxa"/>
        <w:right w:w="0" w:type="dxa"/>
      </w:tblCellMar>
      <w:tblLook w:val="0000" w:firstRow="0" w:lastRow="0" w:firstColumn="0" w:lastColumn="0" w:noHBand="0" w:noVBand="0"/>
    </w:tblPr>
    <w:tblGrid>
      <w:gridCol w:w="1155"/>
      <w:gridCol w:w="7133"/>
    </w:tblGrid>
    <w:tr w:rsidR="00FA156D" w:rsidTr="009B5F68">
      <w:trPr>
        <w:trHeight w:val="280"/>
      </w:trPr>
      <w:tc>
        <w:tcPr>
          <w:tcW w:w="1155" w:type="dxa"/>
        </w:tcPr>
        <w:p w:rsidR="00FA156D" w:rsidRPr="00EF6BED" w:rsidRDefault="00FA156D" w:rsidP="00ED1EDF">
          <w:pPr>
            <w:tabs>
              <w:tab w:val="left" w:pos="1316"/>
            </w:tabs>
            <w:ind w:left="1316" w:hanging="1316"/>
            <w:rPr>
              <w:rStyle w:val="Huisstijl-ReferentieGegevens"/>
              <w:noProof w:val="0"/>
            </w:rPr>
          </w:pPr>
          <w:bookmarkStart w:id="6" w:name="bmGegevens1" w:colFirst="0" w:colLast="0"/>
          <w:bookmarkStart w:id="7" w:name="bmNaw1" w:colFirst="0" w:colLast="0"/>
          <w:r w:rsidRPr="00EF6BED">
            <w:rPr>
              <w:rStyle w:val="Huisstijl-ReferentieKopje"/>
              <w:noProof w:val="0"/>
            </w:rPr>
            <w:t>Datum</w:t>
          </w:r>
        </w:p>
      </w:tc>
      <w:tc>
        <w:tcPr>
          <w:tcW w:w="7133" w:type="dxa"/>
        </w:tcPr>
        <w:p w:rsidR="00FA156D" w:rsidRPr="00EF6BED" w:rsidRDefault="00FA156D" w:rsidP="009B5F68">
          <w:pPr>
            <w:rPr>
              <w:rStyle w:val="Huisstijl-ReferentieGegevens"/>
              <w:noProof w:val="0"/>
            </w:rPr>
          </w:pPr>
          <w:r>
            <w:rPr>
              <w:rStyle w:val="Huisstijl-ReferentieGegevens"/>
              <w:noProof w:val="0"/>
            </w:rPr>
            <w:t>19 maart 2019</w:t>
          </w:r>
        </w:p>
      </w:tc>
    </w:tr>
    <w:bookmarkEnd w:id="6"/>
    <w:bookmarkEnd w:id="7"/>
  </w:tbl>
  <w:p w:rsidR="00FA156D" w:rsidRDefault="00FA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DCDACC"/>
    <w:lvl w:ilvl="0">
      <w:start w:val="1"/>
      <w:numFmt w:val="decimal"/>
      <w:lvlText w:val="%1"/>
      <w:lvlJc w:val="left"/>
      <w:pPr>
        <w:tabs>
          <w:tab w:val="num" w:pos="1077"/>
        </w:tabs>
        <w:ind w:left="1077" w:hanging="357"/>
      </w:pPr>
      <w:rPr>
        <w:rFonts w:hint="default"/>
      </w:rPr>
    </w:lvl>
  </w:abstractNum>
  <w:abstractNum w:abstractNumId="1" w15:restartNumberingAfterBreak="0">
    <w:nsid w:val="FFFFFF7F"/>
    <w:multiLevelType w:val="singleLevel"/>
    <w:tmpl w:val="D49E35C4"/>
    <w:lvl w:ilvl="0">
      <w:start w:val="1"/>
      <w:numFmt w:val="decimal"/>
      <w:lvlText w:val="%1"/>
      <w:lvlJc w:val="left"/>
      <w:pPr>
        <w:tabs>
          <w:tab w:val="num" w:pos="720"/>
        </w:tabs>
        <w:ind w:left="720" w:hanging="363"/>
      </w:pPr>
      <w:rPr>
        <w:rFonts w:hint="default"/>
      </w:rPr>
    </w:lvl>
  </w:abstractNum>
  <w:abstractNum w:abstractNumId="2"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E6F3BE"/>
    <w:lvl w:ilvl="0">
      <w:start w:val="1"/>
      <w:numFmt w:val="decimal"/>
      <w:lvlText w:val="%1"/>
      <w:lvlJc w:val="left"/>
      <w:pPr>
        <w:tabs>
          <w:tab w:val="num" w:pos="360"/>
        </w:tabs>
        <w:ind w:left="360" w:hanging="360"/>
      </w:pPr>
      <w:rPr>
        <w:rFonts w:hint="default"/>
      </w:rPr>
    </w:lvl>
  </w:abstractNum>
  <w:abstractNum w:abstractNumId="5"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891EB52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72245EC"/>
    <w:multiLevelType w:val="hybridMultilevel"/>
    <w:tmpl w:val="A5202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3C775017"/>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10" w15:restartNumberingAfterBreak="0">
    <w:nsid w:val="6AED42A9"/>
    <w:multiLevelType w:val="hybridMultilevel"/>
    <w:tmpl w:val="E6D07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011F63"/>
    <w:multiLevelType w:val="hybridMultilevel"/>
    <w:tmpl w:val="A5202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8D68D3"/>
    <w:multiLevelType w:val="multilevel"/>
    <w:tmpl w:val="5FC8F7FC"/>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70007B1C"/>
    <w:multiLevelType w:val="hybridMultilevel"/>
    <w:tmpl w:val="82E4E2A4"/>
    <w:lvl w:ilvl="0" w:tplc="065C74DA">
      <w:start w:val="1"/>
      <w:numFmt w:val="bullet"/>
      <w:lvlText w:val=""/>
      <w:lvlJc w:val="left"/>
      <w:pPr>
        <w:tabs>
          <w:tab w:val="num" w:pos="284"/>
        </w:tabs>
        <w:ind w:left="284" w:hanging="284"/>
      </w:pPr>
      <w:rPr>
        <w:rFonts w:ascii="Wingdings" w:hAnsi="Wingdings"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9"/>
  </w:num>
  <w:num w:numId="8">
    <w:abstractNumId w:val="9"/>
  </w:num>
  <w:num w:numId="9">
    <w:abstractNumId w:val="9"/>
  </w:num>
  <w:num w:numId="10">
    <w:abstractNumId w:val="5"/>
  </w:num>
  <w:num w:numId="11">
    <w:abstractNumId w:val="5"/>
  </w:num>
  <w:num w:numId="12">
    <w:abstractNumId w:val="3"/>
  </w:num>
  <w:num w:numId="13">
    <w:abstractNumId w:val="3"/>
  </w:num>
  <w:num w:numId="14">
    <w:abstractNumId w:val="2"/>
  </w:num>
  <w:num w:numId="15">
    <w:abstractNumId w:val="2"/>
  </w:num>
  <w:num w:numId="16">
    <w:abstractNumId w:val="4"/>
  </w:num>
  <w:num w:numId="17">
    <w:abstractNumId w:val="4"/>
  </w:num>
  <w:num w:numId="18">
    <w:abstractNumId w:val="5"/>
  </w:num>
  <w:num w:numId="19">
    <w:abstractNumId w:val="3"/>
  </w:num>
  <w:num w:numId="20">
    <w:abstractNumId w:val="2"/>
  </w:num>
  <w:num w:numId="21">
    <w:abstractNumId w:val="1"/>
  </w:num>
  <w:num w:numId="22">
    <w:abstractNumId w:val="1"/>
  </w:num>
  <w:num w:numId="23">
    <w:abstractNumId w:val="2"/>
  </w:num>
  <w:num w:numId="24">
    <w:abstractNumId w:val="2"/>
  </w:num>
  <w:num w:numId="25">
    <w:abstractNumId w:val="0"/>
  </w:num>
  <w:num w:numId="26">
    <w:abstractNumId w:val="0"/>
  </w:num>
  <w:num w:numId="27">
    <w:abstractNumId w:val="1"/>
  </w:num>
  <w:num w:numId="28">
    <w:abstractNumId w:val="4"/>
  </w:num>
  <w:num w:numId="29">
    <w:abstractNumId w:val="1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5"/>
  </w:num>
  <w:num w:numId="41">
    <w:abstractNumId w:val="3"/>
  </w:num>
  <w:num w:numId="42">
    <w:abstractNumId w:val="2"/>
  </w:num>
  <w:num w:numId="43">
    <w:abstractNumId w:val="8"/>
  </w:num>
  <w:num w:numId="44">
    <w:abstractNumId w:val="8"/>
  </w:num>
  <w:num w:numId="45">
    <w:abstractNumId w:val="8"/>
  </w:num>
  <w:num w:numId="46">
    <w:abstractNumId w:val="10"/>
  </w:num>
  <w:num w:numId="47">
    <w:abstractNumId w:val="7"/>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ED"/>
    <w:rsid w:val="000038ED"/>
    <w:rsid w:val="0002789F"/>
    <w:rsid w:val="00063A4E"/>
    <w:rsid w:val="000B0647"/>
    <w:rsid w:val="000C0D7E"/>
    <w:rsid w:val="000C7946"/>
    <w:rsid w:val="000F5F8B"/>
    <w:rsid w:val="000F7585"/>
    <w:rsid w:val="001077E4"/>
    <w:rsid w:val="00155D2D"/>
    <w:rsid w:val="00170D69"/>
    <w:rsid w:val="001A035F"/>
    <w:rsid w:val="001A5911"/>
    <w:rsid w:val="001E2D3E"/>
    <w:rsid w:val="001F52F5"/>
    <w:rsid w:val="00201F65"/>
    <w:rsid w:val="00230BBB"/>
    <w:rsid w:val="002469D8"/>
    <w:rsid w:val="002759EE"/>
    <w:rsid w:val="0028094F"/>
    <w:rsid w:val="00285F9B"/>
    <w:rsid w:val="0029660D"/>
    <w:rsid w:val="002B4D4F"/>
    <w:rsid w:val="002C24D8"/>
    <w:rsid w:val="002D072A"/>
    <w:rsid w:val="002E423C"/>
    <w:rsid w:val="003018AB"/>
    <w:rsid w:val="00321F7C"/>
    <w:rsid w:val="00351835"/>
    <w:rsid w:val="00396F6C"/>
    <w:rsid w:val="003E27E0"/>
    <w:rsid w:val="00444C49"/>
    <w:rsid w:val="004534A3"/>
    <w:rsid w:val="00454756"/>
    <w:rsid w:val="00455729"/>
    <w:rsid w:val="004559E6"/>
    <w:rsid w:val="00482E86"/>
    <w:rsid w:val="004A579F"/>
    <w:rsid w:val="004D446B"/>
    <w:rsid w:val="004D5D33"/>
    <w:rsid w:val="004F13BE"/>
    <w:rsid w:val="004F6178"/>
    <w:rsid w:val="00516CC3"/>
    <w:rsid w:val="00521468"/>
    <w:rsid w:val="00522D0E"/>
    <w:rsid w:val="0055689F"/>
    <w:rsid w:val="005769AD"/>
    <w:rsid w:val="00594FFF"/>
    <w:rsid w:val="005960F7"/>
    <w:rsid w:val="00597891"/>
    <w:rsid w:val="005A161A"/>
    <w:rsid w:val="005D6252"/>
    <w:rsid w:val="00612F23"/>
    <w:rsid w:val="0063001E"/>
    <w:rsid w:val="00657D34"/>
    <w:rsid w:val="00680ECC"/>
    <w:rsid w:val="00684D13"/>
    <w:rsid w:val="00692CDB"/>
    <w:rsid w:val="006A0303"/>
    <w:rsid w:val="007046E0"/>
    <w:rsid w:val="007134BB"/>
    <w:rsid w:val="00733B48"/>
    <w:rsid w:val="00735746"/>
    <w:rsid w:val="0073792A"/>
    <w:rsid w:val="00747ECC"/>
    <w:rsid w:val="00766489"/>
    <w:rsid w:val="0077364A"/>
    <w:rsid w:val="007A247C"/>
    <w:rsid w:val="007A6AEF"/>
    <w:rsid w:val="007D7239"/>
    <w:rsid w:val="00844BEB"/>
    <w:rsid w:val="00851215"/>
    <w:rsid w:val="00882052"/>
    <w:rsid w:val="008950A7"/>
    <w:rsid w:val="00896DE5"/>
    <w:rsid w:val="008B6110"/>
    <w:rsid w:val="008C6A35"/>
    <w:rsid w:val="008D26E4"/>
    <w:rsid w:val="008E04B6"/>
    <w:rsid w:val="008E22BB"/>
    <w:rsid w:val="008E556A"/>
    <w:rsid w:val="00911C2B"/>
    <w:rsid w:val="00990850"/>
    <w:rsid w:val="009B5F68"/>
    <w:rsid w:val="009D7DBA"/>
    <w:rsid w:val="00A20FF7"/>
    <w:rsid w:val="00A217FE"/>
    <w:rsid w:val="00A25D71"/>
    <w:rsid w:val="00A55EEA"/>
    <w:rsid w:val="00A61FB3"/>
    <w:rsid w:val="00A76720"/>
    <w:rsid w:val="00A859F6"/>
    <w:rsid w:val="00A85C97"/>
    <w:rsid w:val="00A87735"/>
    <w:rsid w:val="00AE4FEA"/>
    <w:rsid w:val="00B011A2"/>
    <w:rsid w:val="00B50C39"/>
    <w:rsid w:val="00B53A8F"/>
    <w:rsid w:val="00B559D0"/>
    <w:rsid w:val="00B61D69"/>
    <w:rsid w:val="00B8655F"/>
    <w:rsid w:val="00B95A2E"/>
    <w:rsid w:val="00BA35CA"/>
    <w:rsid w:val="00BA51C5"/>
    <w:rsid w:val="00BF0858"/>
    <w:rsid w:val="00C13A61"/>
    <w:rsid w:val="00C37C1B"/>
    <w:rsid w:val="00C42533"/>
    <w:rsid w:val="00C47CC9"/>
    <w:rsid w:val="00C733BD"/>
    <w:rsid w:val="00C756FA"/>
    <w:rsid w:val="00C86676"/>
    <w:rsid w:val="00C95A8F"/>
    <w:rsid w:val="00CC242F"/>
    <w:rsid w:val="00CC41DE"/>
    <w:rsid w:val="00D333C4"/>
    <w:rsid w:val="00D84DC4"/>
    <w:rsid w:val="00D960AC"/>
    <w:rsid w:val="00DB0519"/>
    <w:rsid w:val="00E118EA"/>
    <w:rsid w:val="00E329E4"/>
    <w:rsid w:val="00E60F23"/>
    <w:rsid w:val="00EC3AD8"/>
    <w:rsid w:val="00ED1EDF"/>
    <w:rsid w:val="00F03E93"/>
    <w:rsid w:val="00F33B55"/>
    <w:rsid w:val="00F349BD"/>
    <w:rsid w:val="00F765AB"/>
    <w:rsid w:val="00F97258"/>
    <w:rsid w:val="00F973CE"/>
    <w:rsid w:val="00FA156D"/>
    <w:rsid w:val="00FC7A75"/>
    <w:rsid w:val="00FD2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C700BF-D23D-41E7-BC66-DE0F635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adjustRightInd w:val="0"/>
      <w:spacing w:line="280" w:lineRule="atLeast"/>
    </w:pPr>
    <w:rPr>
      <w:rFonts w:ascii="Arial" w:hAnsi="Arial"/>
    </w:rPr>
  </w:style>
  <w:style w:type="paragraph" w:styleId="Kop1">
    <w:name w:val="heading 1"/>
    <w:basedOn w:val="Standaard"/>
    <w:next w:val="Standaard"/>
    <w:qFormat/>
    <w:pPr>
      <w:keepNext/>
      <w:numPr>
        <w:numId w:val="7"/>
      </w:numPr>
      <w:spacing w:before="280"/>
      <w:outlineLvl w:val="0"/>
    </w:pPr>
    <w:rPr>
      <w:b/>
      <w:sz w:val="28"/>
    </w:rPr>
  </w:style>
  <w:style w:type="paragraph" w:styleId="Kop2">
    <w:name w:val="heading 2"/>
    <w:basedOn w:val="Kop1"/>
    <w:next w:val="Standaard"/>
    <w:qFormat/>
    <w:pPr>
      <w:numPr>
        <w:ilvl w:val="1"/>
        <w:numId w:val="8"/>
      </w:numPr>
      <w:adjustRightInd/>
      <w:outlineLvl w:val="1"/>
    </w:pPr>
    <w:rPr>
      <w:sz w:val="24"/>
    </w:rPr>
  </w:style>
  <w:style w:type="paragraph" w:styleId="Kop3">
    <w:name w:val="heading 3"/>
    <w:basedOn w:val="Kop2"/>
    <w:next w:val="Standaard"/>
    <w:qFormat/>
    <w:pPr>
      <w:numPr>
        <w:ilvl w:val="2"/>
        <w:numId w:val="9"/>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pPr>
      <w:numPr>
        <w:numId w:val="0"/>
      </w:numPr>
    </w:pPr>
  </w:style>
  <w:style w:type="paragraph" w:customStyle="1" w:styleId="Kop2zondernummer">
    <w:name w:val="Kop 2 zonder nummer"/>
    <w:basedOn w:val="Kop2"/>
    <w:next w:val="Standaard"/>
    <w:pPr>
      <w:numPr>
        <w:ilvl w:val="0"/>
        <w:numId w:val="0"/>
      </w:numPr>
    </w:pPr>
  </w:style>
  <w:style w:type="paragraph" w:customStyle="1" w:styleId="Kop3zondernummer">
    <w:name w:val="Kop 3 zonder nummer"/>
    <w:basedOn w:val="Kop3"/>
    <w:next w:val="Standaard"/>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adjustRightInd/>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40"/>
      </w:numPr>
    </w:pPr>
    <w:rPr>
      <w:lang w:eastAsia="en-US"/>
    </w:rPr>
  </w:style>
  <w:style w:type="paragraph" w:styleId="Lijstopsomteken2">
    <w:name w:val="List Bullet 2"/>
    <w:basedOn w:val="Standaard"/>
    <w:rsid w:val="00BA51C5"/>
    <w:pPr>
      <w:numPr>
        <w:numId w:val="41"/>
      </w:numPr>
    </w:pPr>
    <w:rPr>
      <w:lang w:eastAsia="en-US"/>
    </w:rPr>
  </w:style>
  <w:style w:type="paragraph" w:styleId="Lijstopsomteken3">
    <w:name w:val="List Bullet 3"/>
    <w:basedOn w:val="Standaard"/>
    <w:rsid w:val="00BA51C5"/>
    <w:pPr>
      <w:numPr>
        <w:numId w:val="42"/>
      </w:numPr>
    </w:pPr>
    <w:rPr>
      <w:lang w:eastAsia="en-US"/>
    </w:rPr>
  </w:style>
  <w:style w:type="paragraph" w:styleId="Lijstnummering">
    <w:name w:val="List Number"/>
    <w:basedOn w:val="Standaard"/>
    <w:uiPriority w:val="99"/>
    <w:qFormat/>
    <w:rsid w:val="00BA51C5"/>
    <w:pPr>
      <w:numPr>
        <w:numId w:val="45"/>
      </w:numPr>
      <w:tabs>
        <w:tab w:val="left" w:pos="1225"/>
      </w:tabs>
    </w:pPr>
    <w:rPr>
      <w:lang w:eastAsia="en-US"/>
    </w:rPr>
  </w:style>
  <w:style w:type="paragraph" w:styleId="Lijstnummering2">
    <w:name w:val="List Number 2"/>
    <w:basedOn w:val="Standaard"/>
    <w:uiPriority w:val="99"/>
    <w:qFormat/>
    <w:rsid w:val="00BA51C5"/>
    <w:pPr>
      <w:numPr>
        <w:ilvl w:val="1"/>
        <w:numId w:val="45"/>
      </w:numPr>
    </w:pPr>
  </w:style>
  <w:style w:type="paragraph" w:styleId="Lijstnummering3">
    <w:name w:val="List Number 3"/>
    <w:basedOn w:val="Standaard"/>
    <w:uiPriority w:val="99"/>
    <w:rsid w:val="00BA51C5"/>
    <w:pPr>
      <w:numPr>
        <w:ilvl w:val="2"/>
        <w:numId w:val="45"/>
      </w:numPr>
    </w:pPr>
  </w:style>
  <w:style w:type="paragraph" w:styleId="Koptekst">
    <w:name w:val="header"/>
    <w:basedOn w:val="Standaard"/>
    <w:rsid w:val="00597891"/>
    <w:pPr>
      <w:tabs>
        <w:tab w:val="center" w:pos="4320"/>
        <w:tab w:val="right" w:pos="8640"/>
      </w:tabs>
    </w:pPr>
  </w:style>
  <w:style w:type="paragraph" w:styleId="Voettekst">
    <w:name w:val="footer"/>
    <w:basedOn w:val="Standaard"/>
    <w:rsid w:val="00597891"/>
    <w:pPr>
      <w:tabs>
        <w:tab w:val="center" w:pos="4320"/>
        <w:tab w:val="right" w:pos="8640"/>
      </w:tabs>
    </w:pPr>
  </w:style>
  <w:style w:type="character" w:styleId="Hyperlink">
    <w:name w:val="Hyperlink"/>
    <w:uiPriority w:val="99"/>
    <w:rsid w:val="009B5F68"/>
    <w:rPr>
      <w:color w:val="0000FF"/>
      <w:u w:val="single"/>
    </w:rPr>
  </w:style>
  <w:style w:type="table" w:styleId="Tabelraster">
    <w:name w:val="Table Grid"/>
    <w:basedOn w:val="Standaardtabel"/>
    <w:uiPriority w:val="99"/>
    <w:rsid w:val="009B5F68"/>
    <w:pPr>
      <w:adjustRightIn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1A035F"/>
    <w:rPr>
      <w:color w:val="800080" w:themeColor="followedHyperlink"/>
      <w:u w:val="single"/>
    </w:rPr>
  </w:style>
  <w:style w:type="paragraph" w:styleId="Ballontekst">
    <w:name w:val="Balloon Text"/>
    <w:basedOn w:val="Standaard"/>
    <w:link w:val="BallontekstChar"/>
    <w:rsid w:val="00A85C9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85C97"/>
    <w:rPr>
      <w:rFonts w:ascii="Tahoma" w:hAnsi="Tahoma" w:cs="Tahoma"/>
      <w:sz w:val="16"/>
      <w:szCs w:val="16"/>
    </w:rPr>
  </w:style>
  <w:style w:type="paragraph" w:styleId="Lijstalinea">
    <w:name w:val="List Paragraph"/>
    <w:basedOn w:val="Standaard"/>
    <w:uiPriority w:val="34"/>
    <w:qFormat/>
    <w:rsid w:val="0035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2373</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Bijlagen</vt:lpstr>
    </vt:vector>
  </TitlesOfParts>
  <Company>Gemeente Zwolle</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dc:title>
  <dc:creator>Dekker, Astrid</dc:creator>
  <cp:lastModifiedBy>Anne-Wil Lensen</cp:lastModifiedBy>
  <cp:revision>2</cp:revision>
  <cp:lastPrinted>2019-03-28T09:46:00Z</cp:lastPrinted>
  <dcterms:created xsi:type="dcterms:W3CDTF">2019-04-03T09:20:00Z</dcterms:created>
  <dcterms:modified xsi:type="dcterms:W3CDTF">2019-04-03T09:20:00Z</dcterms:modified>
</cp:coreProperties>
</file>